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cs="Arial"/>
          <w:sz w:val="18"/>
        </w:rPr>
      </w:pPr>
      <w:r>
        <w:rPr>
          <w:rFonts w:cs="Arial"/>
          <w:sz w:val="18"/>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rFonts w:cs="Arial"/>
          <w:sz w:val="18"/>
        </w:rPr>
      </w:pPr>
      <w:r>
        <w:rPr>
          <w:rFonts w:cs="Arial"/>
          <w:sz w:val="18"/>
        </w:rPr>
      </w:r>
    </w:p>
    <w:tbl>
      <w:tblPr>
        <w:tblW w:w="10708" w:type="dxa"/>
        <w:jc w:val="start"/>
        <w:tblInd w:w="200" w:type="dxa"/>
        <w:tblLayout w:type="fixed"/>
        <w:tblCellMar>
          <w:top w:w="0" w:type="dxa"/>
          <w:start w:w="108" w:type="dxa"/>
          <w:bottom w:w="0" w:type="dxa"/>
          <w:end w:w="108" w:type="dxa"/>
        </w:tblCellMar>
      </w:tblPr>
      <w:tblGrid>
        <w:gridCol w:w="708"/>
        <w:gridCol w:w="6040"/>
        <w:gridCol w:w="995"/>
        <w:gridCol w:w="2965"/>
      </w:tblGrid>
      <w:tr>
        <w:trPr>
          <w:trHeight w:val="300" w:hRule="exact"/>
        </w:trPr>
        <w:tc>
          <w:tcPr>
            <w:tcW w:w="708" w:type="dxa"/>
            <w:tcBorders/>
          </w:tcPr>
          <w:p>
            <w:pPr>
              <w:pStyle w:val="Normal"/>
              <w:snapToGrid w:val="false"/>
              <w:ind w:start="-180" w:end="0"/>
              <w:jc w:val="end"/>
              <w:rPr>
                <w:rFonts w:cs="Arial"/>
                <w:sz w:val="18"/>
              </w:rPr>
            </w:pPr>
            <w:r>
              <w:rPr>
                <w:rFonts w:cs="Arial"/>
                <w:sz w:val="18"/>
              </w:rPr>
            </w:r>
          </w:p>
        </w:tc>
        <w:tc>
          <w:tcPr>
            <w:tcW w:w="6040" w:type="dxa"/>
            <w:tcBorders/>
          </w:tcPr>
          <w:p>
            <w:pPr>
              <w:pStyle w:val="To"/>
              <w:snapToGrid w:val="false"/>
              <w:rPr>
                <w:rFonts w:cs="Arial"/>
                <w:sz w:val="18"/>
              </w:rPr>
            </w:pPr>
            <w:r>
              <w:rPr>
                <w:rFonts w:cs="Arial"/>
                <w:sz w:val="18"/>
              </w:rPr>
            </w:r>
          </w:p>
        </w:tc>
        <w:tc>
          <w:tcPr>
            <w:tcW w:w="995" w:type="dxa"/>
            <w:tcBorders/>
          </w:tcPr>
          <w:p>
            <w:pPr>
              <w:pStyle w:val="Normal"/>
              <w:snapToGrid w:val="false"/>
              <w:ind w:start="-180" w:end="0"/>
              <w:rPr>
                <w:rFonts w:cs="Arial"/>
                <w:sz w:val="18"/>
              </w:rPr>
            </w:pPr>
            <w:r>
              <w:rPr>
                <w:rFonts w:cs="Arial"/>
                <w:sz w:val="18"/>
              </w:rPr>
            </w:r>
          </w:p>
        </w:tc>
        <w:tc>
          <w:tcPr>
            <w:tcW w:w="2965" w:type="dxa"/>
            <w:tcBorders/>
          </w:tcPr>
          <w:p>
            <w:pPr>
              <w:pStyle w:val="Normal"/>
              <w:snapToGrid w:val="false"/>
              <w:rPr>
                <w:rFonts w:cs="Arial"/>
                <w:sz w:val="18"/>
              </w:rPr>
            </w:pPr>
            <w:r>
              <w:rPr>
                <w:rFonts w:cs="Arial"/>
                <w:sz w:val="18"/>
              </w:rPr>
            </w:r>
          </w:p>
        </w:tc>
      </w:tr>
      <w:tr>
        <w:trPr>
          <w:trHeight w:val="216" w:hRule="exact"/>
        </w:trPr>
        <w:tc>
          <w:tcPr>
            <w:tcW w:w="708" w:type="dxa"/>
            <w:tcBorders/>
          </w:tcPr>
          <w:p>
            <w:pPr>
              <w:pStyle w:val="Normal"/>
              <w:snapToGrid w:val="false"/>
              <w:ind w:start="-180" w:end="0"/>
              <w:jc w:val="end"/>
              <w:rPr>
                <w:rFonts w:cs="Arial"/>
                <w:sz w:val="18"/>
              </w:rPr>
            </w:pPr>
            <w:r>
              <w:rPr>
                <w:rFonts w:cs="Arial"/>
                <w:sz w:val="18"/>
              </w:rPr>
            </w:r>
          </w:p>
        </w:tc>
        <w:tc>
          <w:tcPr>
            <w:tcW w:w="6040" w:type="dxa"/>
            <w:tcBorders/>
          </w:tcPr>
          <w:p>
            <w:pPr>
              <w:pStyle w:val="Normal"/>
              <w:snapToGrid w:val="false"/>
              <w:rPr>
                <w:rFonts w:cs="Arial"/>
                <w:sz w:val="18"/>
              </w:rPr>
            </w:pPr>
            <w:r>
              <w:rPr>
                <w:rFonts w:cs="Arial"/>
                <w:sz w:val="18"/>
              </w:rPr>
            </w:r>
          </w:p>
        </w:tc>
        <w:tc>
          <w:tcPr>
            <w:tcW w:w="995" w:type="dxa"/>
            <w:tcBorders/>
          </w:tcPr>
          <w:p>
            <w:pPr>
              <w:pStyle w:val="Normal"/>
              <w:snapToGrid w:val="false"/>
              <w:ind w:start="-180" w:end="0"/>
              <w:rPr>
                <w:rFonts w:cs="Arial"/>
                <w:sz w:val="18"/>
              </w:rPr>
            </w:pPr>
            <w:r>
              <w:rPr>
                <w:rFonts w:cs="Arial"/>
                <w:sz w:val="18"/>
              </w:rPr>
            </w:r>
          </w:p>
        </w:tc>
        <w:tc>
          <w:tcPr>
            <w:tcW w:w="2965" w:type="dxa"/>
            <w:tcBorders/>
          </w:tcPr>
          <w:p>
            <w:pPr>
              <w:pStyle w:val="Normal"/>
              <w:snapToGrid w:val="false"/>
              <w:rPr>
                <w:rFonts w:cs="Arial"/>
                <w:sz w:val="18"/>
              </w:rPr>
            </w:pPr>
            <w:r>
              <w:rPr>
                <w:rFonts w:cs="Arial"/>
                <w:sz w:val="18"/>
              </w:rPr>
            </w:r>
          </w:p>
        </w:tc>
      </w:tr>
      <w:tr>
        <w:trPr>
          <w:trHeight w:val="300" w:hRule="exact"/>
        </w:trPr>
        <w:tc>
          <w:tcPr>
            <w:tcW w:w="708" w:type="dxa"/>
            <w:tcBorders/>
          </w:tcPr>
          <w:p>
            <w:pPr>
              <w:pStyle w:val="Normal"/>
              <w:ind w:start="-180" w:end="0"/>
              <w:jc w:val="end"/>
              <w:rPr>
                <w:rFonts w:cs="Arial"/>
                <w:sz w:val="18"/>
              </w:rPr>
            </w:pPr>
            <w:r>
              <w:rPr>
                <w:rFonts w:cs="Arial"/>
                <w:sz w:val="18"/>
              </w:rPr>
              <w:t>To:</w:t>
            </w:r>
          </w:p>
        </w:tc>
        <w:tc>
          <w:tcPr>
            <w:tcW w:w="6040" w:type="dxa"/>
            <w:tcBorders/>
          </w:tcPr>
          <w:p>
            <w:pPr>
              <w:pStyle w:val="From"/>
              <w:rPr>
                <w:rFonts w:cs="Arial"/>
                <w:sz w:val="18"/>
              </w:rPr>
            </w:pPr>
            <w:r>
              <w:rPr>
                <w:rFonts w:cs="Arial"/>
                <w:sz w:val="18"/>
              </w:rPr>
              <w:t>Restructuring Team</w:t>
            </w:r>
          </w:p>
        </w:tc>
        <w:tc>
          <w:tcPr>
            <w:tcW w:w="995" w:type="dxa"/>
            <w:tcBorders/>
          </w:tcPr>
          <w:p>
            <w:pPr>
              <w:pStyle w:val="Normal"/>
              <w:snapToGrid w:val="false"/>
              <w:ind w:start="-180" w:end="0"/>
              <w:jc w:val="end"/>
              <w:rPr>
                <w:rFonts w:cs="Arial"/>
                <w:sz w:val="18"/>
              </w:rPr>
            </w:pPr>
            <w:r>
              <w:rPr>
                <w:rFonts w:cs="Arial"/>
                <w:sz w:val="18"/>
              </w:rPr>
            </w:r>
          </w:p>
        </w:tc>
        <w:tc>
          <w:tcPr>
            <w:tcW w:w="2965" w:type="dxa"/>
            <w:tcBorders/>
          </w:tcPr>
          <w:p>
            <w:pPr>
              <w:pStyle w:val="Department"/>
              <w:snapToGrid w:val="false"/>
              <w:rPr>
                <w:rFonts w:cs="Arial"/>
                <w:sz w:val="18"/>
              </w:rPr>
            </w:pPr>
            <w:r>
              <w:rPr>
                <w:rFonts w:cs="Arial"/>
                <w:sz w:val="18"/>
              </w:rPr>
            </w:r>
            <w:bookmarkStart w:id="0" w:name="From"/>
            <w:bookmarkStart w:id="1" w:name="From"/>
            <w:bookmarkEnd w:id="1"/>
          </w:p>
        </w:tc>
      </w:tr>
      <w:tr>
        <w:trPr>
          <w:trHeight w:val="216" w:hRule="exact"/>
        </w:trPr>
        <w:tc>
          <w:tcPr>
            <w:tcW w:w="708" w:type="dxa"/>
            <w:tcBorders/>
          </w:tcPr>
          <w:p>
            <w:pPr>
              <w:pStyle w:val="Normal"/>
              <w:snapToGrid w:val="false"/>
              <w:ind w:start="-180" w:end="0"/>
              <w:jc w:val="end"/>
              <w:rPr>
                <w:rFonts w:cs="Arial"/>
                <w:sz w:val="18"/>
              </w:rPr>
            </w:pPr>
            <w:r>
              <w:rPr>
                <w:rFonts w:cs="Arial"/>
                <w:sz w:val="18"/>
              </w:rPr>
            </w:r>
          </w:p>
        </w:tc>
        <w:tc>
          <w:tcPr>
            <w:tcW w:w="6040" w:type="dxa"/>
            <w:tcBorders/>
          </w:tcPr>
          <w:p>
            <w:pPr>
              <w:pStyle w:val="Normal"/>
              <w:snapToGrid w:val="false"/>
              <w:rPr>
                <w:rFonts w:cs="Arial"/>
                <w:sz w:val="18"/>
              </w:rPr>
            </w:pPr>
            <w:r>
              <w:rPr>
                <w:rFonts w:cs="Arial"/>
                <w:sz w:val="18"/>
              </w:rPr>
            </w:r>
          </w:p>
        </w:tc>
        <w:tc>
          <w:tcPr>
            <w:tcW w:w="995" w:type="dxa"/>
            <w:tcBorders/>
          </w:tcPr>
          <w:p>
            <w:pPr>
              <w:pStyle w:val="Normal"/>
              <w:snapToGrid w:val="false"/>
              <w:ind w:start="-180" w:end="0"/>
              <w:rPr>
                <w:rFonts w:cs="Arial"/>
                <w:sz w:val="18"/>
              </w:rPr>
            </w:pPr>
            <w:r>
              <w:rPr>
                <w:rFonts w:cs="Arial"/>
                <w:sz w:val="18"/>
              </w:rPr>
            </w:r>
          </w:p>
        </w:tc>
        <w:tc>
          <w:tcPr>
            <w:tcW w:w="2965" w:type="dxa"/>
            <w:tcBorders/>
          </w:tcPr>
          <w:p>
            <w:pPr>
              <w:pStyle w:val="Normal"/>
              <w:snapToGrid w:val="false"/>
              <w:rPr>
                <w:rFonts w:cs="Arial"/>
                <w:sz w:val="18"/>
              </w:rPr>
            </w:pPr>
            <w:r>
              <w:rPr>
                <w:rFonts w:cs="Arial"/>
                <w:sz w:val="18"/>
              </w:rPr>
            </w:r>
          </w:p>
        </w:tc>
      </w:tr>
      <w:tr>
        <w:trPr>
          <w:trHeight w:val="600" w:hRule="exact"/>
        </w:trPr>
        <w:tc>
          <w:tcPr>
            <w:tcW w:w="708" w:type="dxa"/>
            <w:tcBorders>
              <w:bottom w:val="single" w:sz="12" w:space="0" w:color="000000"/>
            </w:tcBorders>
          </w:tcPr>
          <w:p>
            <w:pPr>
              <w:pStyle w:val="Normal"/>
              <w:ind w:start="-180" w:end="0"/>
              <w:jc w:val="end"/>
              <w:rPr>
                <w:rFonts w:cs="Arial"/>
                <w:sz w:val="18"/>
              </w:rPr>
            </w:pPr>
            <w:r>
              <w:rPr>
                <w:rFonts w:cs="Arial"/>
                <w:sz w:val="18"/>
              </w:rPr>
              <w:t>Subject:</w:t>
            </w:r>
          </w:p>
        </w:tc>
        <w:tc>
          <w:tcPr>
            <w:tcW w:w="6040" w:type="dxa"/>
            <w:tcBorders>
              <w:bottom w:val="single" w:sz="12" w:space="0" w:color="000000"/>
            </w:tcBorders>
          </w:tcPr>
          <w:p>
            <w:pPr>
              <w:pStyle w:val="Subject"/>
              <w:rPr>
                <w:rFonts w:cs="Arial"/>
                <w:sz w:val="18"/>
              </w:rPr>
            </w:pPr>
            <w:r>
              <w:rPr>
                <w:rFonts w:cs="Arial"/>
                <w:sz w:val="18"/>
              </w:rPr>
              <w:t>Non-Commercial Requirements</w:t>
            </w:r>
          </w:p>
        </w:tc>
        <w:tc>
          <w:tcPr>
            <w:tcW w:w="995" w:type="dxa"/>
            <w:tcBorders>
              <w:bottom w:val="single" w:sz="12" w:space="0" w:color="000000"/>
            </w:tcBorders>
          </w:tcPr>
          <w:p>
            <w:pPr>
              <w:pStyle w:val="Normal"/>
              <w:ind w:start="-180" w:end="0"/>
              <w:jc w:val="end"/>
              <w:rPr>
                <w:rFonts w:cs="Arial"/>
                <w:sz w:val="18"/>
              </w:rPr>
            </w:pPr>
            <w:r>
              <w:rPr>
                <w:rFonts w:cs="Arial"/>
                <w:sz w:val="18"/>
              </w:rPr>
              <w:t>Date:</w:t>
            </w:r>
          </w:p>
        </w:tc>
        <w:tc>
          <w:tcPr>
            <w:tcW w:w="2965" w:type="dxa"/>
            <w:tcBorders>
              <w:bottom w:val="single" w:sz="12" w:space="0" w:color="000000"/>
            </w:tcBorders>
          </w:tcPr>
          <w:p>
            <w:pPr>
              <w:pStyle w:val="Date"/>
              <w:rPr>
                <w:rFonts w:cs="Arial"/>
                <w:sz w:val="18"/>
              </w:rPr>
            </w:pPr>
            <w:r>
              <w:rPr>
                <w:rFonts w:cs="Arial"/>
                <w:sz w:val="18"/>
              </w:rPr>
              <w:fldChar w:fldCharType="begin"/>
            </w:r>
            <w:r>
              <w:rPr>
                <w:sz w:val="18"/>
                <w:rFonts w:cs="Arial"/>
              </w:rPr>
              <w:instrText xml:space="preserve"> DATE \@"MMMM\ d', 'yyyy" </w:instrText>
            </w:r>
            <w:r>
              <w:rPr>
                <w:sz w:val="18"/>
                <w:rFonts w:cs="Arial"/>
              </w:rPr>
              <w:fldChar w:fldCharType="separate"/>
            </w:r>
            <w:r>
              <w:rPr>
                <w:sz w:val="18"/>
                <w:rFonts w:cs="Arial"/>
              </w:rPr>
              <w:t>September 28, 2025</w:t>
            </w:r>
            <w:r>
              <w:rPr>
                <w:sz w:val="18"/>
                <w:rFonts w:cs="Arial"/>
              </w:rPr>
              <w:fldChar w:fldCharType="end"/>
            </w:r>
          </w:p>
        </w:tc>
      </w:tr>
    </w:tbl>
    <w:p>
      <w:pPr>
        <w:pStyle w:val="Body"/>
        <w:rPr>
          <w:rFonts w:cs="Arial"/>
          <w:sz w:val="18"/>
        </w:rPr>
      </w:pPr>
      <w:r>
        <w:rPr>
          <w:rFonts w:cs="Arial"/>
          <w:sz w:val="18"/>
        </w:rPr>
      </w:r>
      <w:bookmarkStart w:id="2" w:name="StartOfMemo"/>
      <w:bookmarkStart w:id="3" w:name="StartOfMemo"/>
      <w:bookmarkEnd w:id="3"/>
    </w:p>
    <w:p>
      <w:pPr>
        <w:pStyle w:val="Body"/>
        <w:rPr>
          <w:rFonts w:cs="Arial"/>
          <w:sz w:val="18"/>
        </w:rPr>
      </w:pPr>
      <w:r>
        <w:rPr>
          <w:rFonts w:cs="Arial"/>
          <w:sz w:val="18"/>
        </w:rPr>
      </w:r>
    </w:p>
    <w:p>
      <w:pPr>
        <w:pStyle w:val="BodyText3"/>
        <w:rPr/>
      </w:pPr>
      <w:r>
        <w:rPr>
          <w:sz w:val="20"/>
        </w:rPr>
        <w:t>We need to quickly assess the level of corporate support and services that each business unit will require for the next year.</w:t>
      </w:r>
      <w:r>
        <w:rPr>
          <w:b w:val="false"/>
          <w:bCs w:val="false"/>
          <w:sz w:val="20"/>
        </w:rPr>
        <w:t xml:space="preserve">  </w:t>
      </w:r>
      <w:r>
        <w:rPr>
          <w:sz w:val="20"/>
        </w:rPr>
        <w:t>The business unit leaders must rationalize the corporate support staff and services budget.  We request that each of you complete the below questionnaire which will help identify core spending priorities.  Please respond to this survey ASAP, but no later than noon Monday.</w:t>
      </w:r>
    </w:p>
    <w:p>
      <w:pPr>
        <w:pStyle w:val="BodyText3"/>
        <w:rPr>
          <w:sz w:val="20"/>
        </w:rPr>
      </w:pPr>
      <w:r>
        <w:rPr>
          <w:sz w:val="20"/>
        </w:rPr>
      </w:r>
    </w:p>
    <w:p>
      <w:pPr>
        <w:pStyle w:val="BodyText3"/>
        <w:rPr>
          <w:sz w:val="20"/>
        </w:rPr>
      </w:pPr>
      <w:r>
        <w:rPr>
          <w:sz w:val="20"/>
        </w:rPr>
        <w:t xml:space="preserve">NOTE: Business unit legal and accounting requirements must be rationalized by the business unit leaders – this does not roll up in a consolidated manner to Corporate.  </w:t>
      </w:r>
    </w:p>
    <w:p>
      <w:pPr>
        <w:pStyle w:val="BodyText3"/>
        <w:rPr>
          <w:sz w:val="20"/>
        </w:rPr>
      </w:pPr>
      <w:r>
        <w:rPr>
          <w:sz w:val="20"/>
        </w:rPr>
      </w:r>
    </w:p>
    <w:p>
      <w:pPr>
        <w:pStyle w:val="BodyText3"/>
        <w:rPr>
          <w:sz w:val="20"/>
        </w:rPr>
      </w:pPr>
      <w:r>
        <w:rPr>
          <w:sz w:val="20"/>
        </w:rPr>
        <w:t>Further, by close of business Monday business leaders must meet with NetWorks to specifically determine what development and support will be required for the next 12 months.</w:t>
      </w:r>
    </w:p>
    <w:p>
      <w:pPr>
        <w:pStyle w:val="Department"/>
        <w:rPr>
          <w:rFonts w:cs="Arial"/>
          <w:sz w:val="20"/>
        </w:rPr>
      </w:pPr>
      <w:r>
        <w:rPr>
          <w:rFonts w:cs="Arial"/>
          <w:sz w:val="20"/>
        </w:rPr>
      </w:r>
    </w:p>
    <w:p>
      <w:pPr>
        <w:pStyle w:val="Department"/>
        <w:rPr>
          <w:rFonts w:cs="Arial"/>
          <w:b/>
          <w:bCs/>
          <w:u w:val="single"/>
        </w:rPr>
      </w:pPr>
      <w:r>
        <w:rPr>
          <w:rFonts w:cs="Arial"/>
          <w:b/>
          <w:bCs/>
          <w:u w:val="single"/>
        </w:rPr>
        <w:t>Current Projected Expenses</w:t>
      </w:r>
    </w:p>
    <w:p>
      <w:pPr>
        <w:pStyle w:val="Department"/>
        <w:numPr>
          <w:ilvl w:val="0"/>
          <w:numId w:val="7"/>
        </w:numPr>
        <w:rPr/>
      </w:pPr>
      <w:r>
        <w:rPr/>
        <w:t>Next year we are budgeted to spend $1.7 Billion on corporate support staff/services and Networks.  Together these groups employ 4,101 people.</w:t>
      </w:r>
    </w:p>
    <w:p>
      <w:pPr>
        <w:pStyle w:val="Department"/>
        <w:numPr>
          <w:ilvl w:val="0"/>
          <w:numId w:val="8"/>
        </w:numPr>
        <w:rPr/>
      </w:pPr>
      <w:r>
        <w:rPr/>
        <w:t xml:space="preserve">Corporate support staff and services is budgeted to spend $1.04 billion and employ 1,674 people.  </w:t>
      </w:r>
    </w:p>
    <w:p>
      <w:pPr>
        <w:pStyle w:val="Normal"/>
        <w:numPr>
          <w:ilvl w:val="0"/>
          <w:numId w:val="9"/>
        </w:numPr>
        <w:rPr>
          <w:rFonts w:cs="Arial"/>
          <w:sz w:val="20"/>
        </w:rPr>
      </w:pPr>
      <w:r>
        <w:rPr>
          <w:rFonts w:cs="Arial"/>
          <w:sz w:val="20"/>
        </w:rPr>
        <w:t xml:space="preserve">Enron Networks is budgeted to spend $685 Million and employ 2,427 people. </w:t>
      </w:r>
    </w:p>
    <w:p>
      <w:pPr>
        <w:pStyle w:val="BodyText3"/>
        <w:rPr>
          <w:rFonts w:cs="Arial"/>
          <w:sz w:val="20"/>
        </w:rPr>
      </w:pPr>
      <w:r>
        <w:rPr>
          <w:rFonts w:cs="Arial"/>
          <w:sz w:val="20"/>
        </w:rPr>
      </w:r>
    </w:p>
    <w:p>
      <w:pPr>
        <w:pStyle w:val="BodyText3"/>
        <w:rPr>
          <w:sz w:val="20"/>
          <w:u w:val="single"/>
        </w:rPr>
      </w:pPr>
      <w:r>
        <w:rPr>
          <w:sz w:val="20"/>
          <w:u w:val="single"/>
        </w:rPr>
        <w:t>Corporate Function Survey</w:t>
      </w:r>
    </w:p>
    <w:p>
      <w:pPr>
        <w:pStyle w:val="BodyText3"/>
        <w:rPr>
          <w:sz w:val="20"/>
          <w:u w:val="single"/>
        </w:rPr>
      </w:pPr>
      <w:r>
        <w:rPr>
          <w:sz w:val="20"/>
          <w:u w:val="single"/>
        </w:rPr>
      </w:r>
    </w:p>
    <w:p>
      <w:pPr>
        <w:pStyle w:val="BodyText3"/>
        <w:rPr>
          <w:sz w:val="20"/>
        </w:rPr>
      </w:pPr>
      <w:r>
        <w:rPr>
          <w:sz w:val="20"/>
        </w:rPr>
        <w:t xml:space="preserve">NOTE:  For each of the following support areas, please be as specific as possible in detailing the projects that require support and their associated support headcount and costs.  </w:t>
      </w:r>
    </w:p>
    <w:p>
      <w:pPr>
        <w:pStyle w:val="Heading2"/>
        <w:ind w:hanging="0" w:start="0"/>
        <w:rPr>
          <w:rFonts w:cs="Arial"/>
          <w:sz w:val="20"/>
        </w:rPr>
      </w:pPr>
      <w:r>
        <w:rPr>
          <w:rFonts w:cs="Arial"/>
          <w:sz w:val="20"/>
        </w:rPr>
      </w:r>
    </w:p>
    <w:p>
      <w:pPr>
        <w:pStyle w:val="Heading1"/>
        <w:ind w:hanging="0" w:start="0"/>
        <w:rPr>
          <w:rFonts w:ascii="Arial" w:hAnsi="Arial" w:cs="Arial"/>
        </w:rPr>
      </w:pPr>
      <w:r>
        <w:rPr>
          <w:rFonts w:cs="Arial" w:ascii="Arial" w:hAnsi="Arial"/>
        </w:rPr>
        <w:t>Government &amp; Regulatory Affairs</w:t>
      </w:r>
    </w:p>
    <w:p>
      <w:pPr>
        <w:pStyle w:val="Normal"/>
        <w:numPr>
          <w:ilvl w:val="0"/>
          <w:numId w:val="6"/>
        </w:numPr>
        <w:rPr>
          <w:rFonts w:cs="Arial"/>
          <w:sz w:val="20"/>
        </w:rPr>
      </w:pPr>
      <w:r>
        <w:rPr>
          <w:rFonts w:cs="Arial"/>
          <w:sz w:val="20"/>
        </w:rPr>
        <w:t xml:space="preserve">Please indicate what government and regulatory affairs support you will require over the next 12 months.  </w:t>
      </w:r>
    </w:p>
    <w:p>
      <w:pPr>
        <w:pStyle w:val="Normal"/>
        <w:ind w:start="360" w:end="0"/>
        <w:rPr>
          <w:rFonts w:cs="Arial"/>
          <w:sz w:val="20"/>
        </w:rPr>
      </w:pPr>
      <w:r>
        <w:rPr>
          <w:rFonts w:cs="Arial"/>
          <w:sz w:val="20"/>
        </w:rPr>
      </w:r>
    </w:p>
    <w:p>
      <w:pPr>
        <w:pStyle w:val="BodyText3"/>
        <w:rPr>
          <w:sz w:val="20"/>
        </w:rPr>
      </w:pPr>
      <w:r>
        <w:rPr>
          <w:sz w:val="20"/>
        </w:rPr>
        <w:t>Communications (Public relations)</w:t>
      </w:r>
    </w:p>
    <w:p>
      <w:pPr>
        <w:pStyle w:val="Normal"/>
        <w:numPr>
          <w:ilvl w:val="0"/>
          <w:numId w:val="6"/>
        </w:numPr>
        <w:rPr>
          <w:rFonts w:cs="Arial"/>
          <w:sz w:val="20"/>
        </w:rPr>
      </w:pPr>
      <w:r>
        <w:rPr>
          <w:rFonts w:cs="Arial"/>
          <w:sz w:val="20"/>
        </w:rPr>
        <w:t>Indicate the specific communication and public relations tasks required for your business unit.</w:t>
      </w:r>
    </w:p>
    <w:p>
      <w:pPr>
        <w:pStyle w:val="Normal"/>
        <w:ind w:start="360" w:end="0"/>
        <w:rPr>
          <w:rFonts w:cs="Arial"/>
          <w:sz w:val="20"/>
        </w:rPr>
      </w:pPr>
      <w:r>
        <w:rPr>
          <w:rFonts w:cs="Arial"/>
          <w:sz w:val="20"/>
        </w:rPr>
      </w:r>
    </w:p>
    <w:p>
      <w:pPr>
        <w:pStyle w:val="BodyText3"/>
        <w:rPr>
          <w:sz w:val="20"/>
        </w:rPr>
      </w:pPr>
      <w:r>
        <w:rPr>
          <w:sz w:val="20"/>
        </w:rPr>
        <w:t>Business Controls (John Brindle)</w:t>
      </w:r>
    </w:p>
    <w:p>
      <w:pPr>
        <w:pStyle w:val="Normal"/>
        <w:numPr>
          <w:ilvl w:val="0"/>
          <w:numId w:val="6"/>
        </w:numPr>
        <w:rPr>
          <w:rFonts w:cs="Arial"/>
          <w:sz w:val="20"/>
        </w:rPr>
      </w:pPr>
      <w:r>
        <w:rPr>
          <w:rFonts w:cs="Arial"/>
          <w:sz w:val="20"/>
        </w:rPr>
        <w:t xml:space="preserve">Indicate your business unit’s usage to date and projected usage of this group.  </w:t>
      </w:r>
    </w:p>
    <w:p>
      <w:pPr>
        <w:pStyle w:val="Heading1"/>
        <w:ind w:hanging="0" w:start="0"/>
        <w:rPr>
          <w:rFonts w:ascii="Arial" w:hAnsi="Arial" w:cs="Arial"/>
          <w:sz w:val="20"/>
        </w:rPr>
      </w:pPr>
      <w:r>
        <w:rPr>
          <w:rFonts w:cs="Arial" w:ascii="Arial" w:hAnsi="Arial"/>
          <w:sz w:val="20"/>
        </w:rPr>
      </w:r>
    </w:p>
    <w:p>
      <w:pPr>
        <w:pStyle w:val="Heading4"/>
        <w:ind w:hanging="0" w:start="0"/>
        <w:rPr>
          <w:rFonts w:cs="Arial"/>
          <w:sz w:val="20"/>
        </w:rPr>
      </w:pPr>
      <w:r>
        <w:rPr>
          <w:rFonts w:cs="Arial"/>
          <w:sz w:val="20"/>
        </w:rPr>
        <w:t>Aviation</w:t>
      </w:r>
    </w:p>
    <w:p>
      <w:pPr>
        <w:pStyle w:val="Normal"/>
        <w:numPr>
          <w:ilvl w:val="0"/>
          <w:numId w:val="6"/>
        </w:numPr>
        <w:rPr>
          <w:rFonts w:cs="Arial"/>
          <w:sz w:val="20"/>
        </w:rPr>
      </w:pPr>
      <w:r>
        <w:rPr>
          <w:rFonts w:cs="Arial"/>
          <w:sz w:val="20"/>
        </w:rPr>
        <w:t xml:space="preserve">Indicate your business unit’s requirements for aviation support in 2002.  </w:t>
      </w:r>
    </w:p>
    <w:p>
      <w:pPr>
        <w:pStyle w:val="Normal"/>
        <w:numPr>
          <w:ilvl w:val="0"/>
          <w:numId w:val="6"/>
        </w:numPr>
        <w:rPr>
          <w:rFonts w:cs="Arial"/>
          <w:sz w:val="20"/>
        </w:rPr>
      </w:pPr>
      <w:r>
        <w:rPr>
          <w:rFonts w:cs="Arial"/>
          <w:sz w:val="20"/>
        </w:rPr>
        <w:t>Can these requirements be met through commercial air or other means?</w:t>
      </w:r>
    </w:p>
    <w:p>
      <w:pPr>
        <w:pStyle w:val="Normal"/>
        <w:rPr>
          <w:rFonts w:cs="Arial"/>
          <w:sz w:val="20"/>
        </w:rPr>
      </w:pPr>
      <w:r>
        <w:rPr>
          <w:rFonts w:cs="Arial"/>
          <w:sz w:val="20"/>
        </w:rPr>
      </w:r>
    </w:p>
    <w:p>
      <w:pPr>
        <w:pStyle w:val="Normal"/>
        <w:rPr>
          <w:rFonts w:cs="Arial"/>
          <w:b/>
          <w:bCs/>
          <w:sz w:val="20"/>
        </w:rPr>
      </w:pPr>
      <w:r>
        <w:rPr>
          <w:rFonts w:cs="Arial"/>
          <w:b/>
          <w:bCs/>
          <w:sz w:val="20"/>
        </w:rPr>
        <w:t>Human Resources</w:t>
      </w:r>
    </w:p>
    <w:p>
      <w:pPr>
        <w:pStyle w:val="BodyText"/>
        <w:numPr>
          <w:ilvl w:val="0"/>
          <w:numId w:val="4"/>
        </w:numPr>
        <w:rPr>
          <w:rFonts w:ascii="Arial" w:hAnsi="Arial" w:cs="Arial"/>
        </w:rPr>
      </w:pPr>
      <w:r>
        <w:rPr>
          <w:rFonts w:cs="Arial" w:ascii="Arial" w:hAnsi="Arial"/>
        </w:rPr>
        <w:t>How many HR people support your organization?  What function do they perform?</w:t>
      </w:r>
    </w:p>
    <w:p>
      <w:pPr>
        <w:pStyle w:val="BodyText"/>
        <w:numPr>
          <w:ilvl w:val="0"/>
          <w:numId w:val="4"/>
        </w:numPr>
        <w:rPr>
          <w:rFonts w:ascii="Arial" w:hAnsi="Arial" w:cs="Arial"/>
        </w:rPr>
      </w:pPr>
      <w:r>
        <w:rPr>
          <w:rFonts w:cs="Arial" w:ascii="Arial" w:hAnsi="Arial"/>
        </w:rPr>
        <w:t>What is the current need for Labor Relations?</w:t>
      </w:r>
    </w:p>
    <w:p>
      <w:pPr>
        <w:pStyle w:val="BodyText"/>
        <w:numPr>
          <w:ilvl w:val="0"/>
          <w:numId w:val="4"/>
        </w:numPr>
        <w:rPr>
          <w:rFonts w:ascii="Arial" w:hAnsi="Arial" w:cs="Arial"/>
        </w:rPr>
      </w:pPr>
      <w:r>
        <w:rPr>
          <w:rFonts w:cs="Arial" w:ascii="Arial" w:hAnsi="Arial"/>
        </w:rPr>
        <w:t>Do you support benefits, wellness and work life services?</w:t>
      </w:r>
    </w:p>
    <w:p>
      <w:pPr>
        <w:pStyle w:val="BodyText"/>
        <w:numPr>
          <w:ilvl w:val="0"/>
          <w:numId w:val="4"/>
        </w:numPr>
        <w:rPr>
          <w:rFonts w:ascii="Arial" w:hAnsi="Arial" w:cs="Arial"/>
        </w:rPr>
      </w:pPr>
      <w:r>
        <w:rPr>
          <w:rFonts w:cs="Arial" w:ascii="Arial" w:hAnsi="Arial"/>
        </w:rPr>
        <w:t>What is your anticipated need for Associates and Analysts?</w:t>
      </w:r>
    </w:p>
    <w:p>
      <w:pPr>
        <w:pStyle w:val="Normal"/>
        <w:rPr>
          <w:rFonts w:ascii="Arial" w:hAnsi="Arial" w:cs="Arial"/>
          <w:sz w:val="20"/>
        </w:rPr>
      </w:pPr>
      <w:r>
        <w:rPr>
          <w:rFonts w:cs="Arial"/>
          <w:sz w:val="20"/>
        </w:rPr>
      </w:r>
    </w:p>
    <w:p>
      <w:pPr>
        <w:pStyle w:val="Heading1"/>
        <w:ind w:hanging="0" w:start="0"/>
        <w:rPr>
          <w:rFonts w:ascii="Arial" w:hAnsi="Arial" w:cs="Arial"/>
        </w:rPr>
      </w:pPr>
      <w:r>
        <w:rPr>
          <w:rFonts w:cs="Arial" w:ascii="Arial" w:hAnsi="Arial"/>
        </w:rPr>
        <w:t>Corporate Responsibilities (University relations, social responsibility, event &amp; employee program, diversity and corporate communications)</w:t>
      </w:r>
    </w:p>
    <w:p>
      <w:pPr>
        <w:pStyle w:val="Normal"/>
        <w:numPr>
          <w:ilvl w:val="0"/>
          <w:numId w:val="2"/>
        </w:numPr>
        <w:rPr>
          <w:rFonts w:cs="Arial"/>
          <w:sz w:val="20"/>
        </w:rPr>
      </w:pPr>
      <w:r>
        <w:rPr>
          <w:rFonts w:cs="Arial"/>
          <w:sz w:val="20"/>
        </w:rPr>
        <w:t xml:space="preserve">Provide a list of activities that you will support in this area. </w:t>
      </w:r>
    </w:p>
    <w:p>
      <w:pPr>
        <w:pStyle w:val="Normal"/>
        <w:numPr>
          <w:ilvl w:val="0"/>
          <w:numId w:val="2"/>
        </w:numPr>
        <w:rPr>
          <w:rFonts w:cs="Arial"/>
          <w:sz w:val="20"/>
        </w:rPr>
      </w:pPr>
      <w:r>
        <w:rPr>
          <w:rFonts w:cs="Arial"/>
          <w:sz w:val="20"/>
        </w:rPr>
        <w:t>Do you need this function?  If reduced or eliminated, will this action negatively impact your business?</w:t>
      </w:r>
    </w:p>
    <w:p>
      <w:pPr>
        <w:pStyle w:val="Normal"/>
        <w:rPr>
          <w:rFonts w:cs="Arial"/>
          <w:b/>
          <w:bCs/>
          <w:sz w:val="20"/>
        </w:rPr>
      </w:pPr>
      <w:r>
        <w:rPr>
          <w:rFonts w:cs="Arial"/>
          <w:b/>
          <w:bCs/>
          <w:sz w:val="20"/>
        </w:rPr>
        <w:t>Risk Assessment and Control (RAC)</w:t>
      </w:r>
    </w:p>
    <w:p>
      <w:pPr>
        <w:pStyle w:val="BodyText"/>
        <w:numPr>
          <w:ilvl w:val="0"/>
          <w:numId w:val="3"/>
        </w:numPr>
        <w:rPr>
          <w:rFonts w:ascii="Arial" w:hAnsi="Arial" w:cs="Arial"/>
          <w:b/>
          <w:bCs/>
        </w:rPr>
      </w:pPr>
      <w:r>
        <w:rPr>
          <w:rFonts w:cs="Arial" w:ascii="Arial" w:hAnsi="Arial"/>
        </w:rPr>
        <w:t>Please identify the scale and scope of your required RAC support.</w:t>
      </w:r>
    </w:p>
    <w:p>
      <w:pPr>
        <w:pStyle w:val="Normal"/>
        <w:rPr>
          <w:rFonts w:ascii="Arial" w:hAnsi="Arial" w:cs="Arial"/>
          <w:b/>
          <w:bCs/>
          <w:sz w:val="20"/>
        </w:rPr>
      </w:pPr>
      <w:r>
        <w:rPr>
          <w:rFonts w:cs="Arial"/>
          <w:b/>
          <w:bCs/>
          <w:sz w:val="20"/>
        </w:rPr>
      </w:r>
    </w:p>
    <w:p>
      <w:pPr>
        <w:pStyle w:val="Normal"/>
        <w:rPr>
          <w:rFonts w:cs="Arial"/>
          <w:b/>
          <w:bCs/>
          <w:sz w:val="20"/>
        </w:rPr>
      </w:pPr>
      <w:r>
        <w:rPr>
          <w:rFonts w:cs="Arial"/>
          <w:b/>
          <w:bCs/>
          <w:sz w:val="20"/>
        </w:rPr>
        <w:t>Strategic Sourcing (e.g. iBuyit, iPayit, and Travel Agency in the Park)</w:t>
      </w:r>
    </w:p>
    <w:p>
      <w:pPr>
        <w:pStyle w:val="Normal"/>
        <w:numPr>
          <w:ilvl w:val="0"/>
          <w:numId w:val="5"/>
        </w:numPr>
        <w:rPr>
          <w:rFonts w:cs="Arial"/>
          <w:sz w:val="20"/>
        </w:rPr>
      </w:pPr>
      <w:r>
        <w:rPr>
          <w:rFonts w:cs="Arial"/>
          <w:sz w:val="20"/>
        </w:rPr>
        <w:t>Please outline ways you have benefited from this function in the past?</w:t>
      </w:r>
    </w:p>
    <w:p>
      <w:pPr>
        <w:pStyle w:val="Normal"/>
        <w:numPr>
          <w:ilvl w:val="0"/>
          <w:numId w:val="5"/>
        </w:numPr>
        <w:rPr>
          <w:rFonts w:cs="Arial"/>
          <w:sz w:val="20"/>
        </w:rPr>
      </w:pPr>
      <w:r>
        <w:rPr>
          <w:rFonts w:cs="Arial"/>
          <w:sz w:val="20"/>
        </w:rPr>
        <w:t>Do you anticipate further benefits are possible in this area and if so, what is the potential cost savings?</w:t>
      </w:r>
    </w:p>
    <w:p>
      <w:pPr>
        <w:pStyle w:val="Heading5"/>
        <w:ind w:hanging="0" w:start="0"/>
        <w:rPr>
          <w:rFonts w:cs="Arial"/>
          <w:sz w:val="20"/>
        </w:rPr>
      </w:pPr>
      <w:r>
        <w:rPr>
          <w:rFonts w:cs="Arial"/>
          <w:sz w:val="20"/>
        </w:rPr>
      </w:r>
    </w:p>
    <w:p>
      <w:pPr>
        <w:pStyle w:val="Heading5"/>
        <w:ind w:hanging="0" w:start="0"/>
        <w:rPr>
          <w:sz w:val="20"/>
        </w:rPr>
      </w:pPr>
      <w:r>
        <w:rPr>
          <w:sz w:val="20"/>
        </w:rPr>
        <w:t>Research</w:t>
      </w:r>
    </w:p>
    <w:p>
      <w:pPr>
        <w:pStyle w:val="Normal"/>
        <w:numPr>
          <w:ilvl w:val="0"/>
          <w:numId w:val="5"/>
        </w:numPr>
        <w:rPr>
          <w:rFonts w:cs="Arial"/>
          <w:sz w:val="20"/>
        </w:rPr>
      </w:pPr>
      <w:r>
        <w:rPr>
          <w:rFonts w:cs="Arial"/>
          <w:sz w:val="20"/>
        </w:rPr>
        <w:t>Please outline the current support that research provides your business unit.</w:t>
      </w:r>
    </w:p>
    <w:p>
      <w:pPr>
        <w:pStyle w:val="Normal"/>
        <w:rPr>
          <w:rFonts w:cs="Arial"/>
          <w:sz w:val="20"/>
        </w:rPr>
      </w:pPr>
      <w:r>
        <w:rPr>
          <w:rFonts w:cs="Arial"/>
          <w:sz w:val="20"/>
        </w:rPr>
      </w:r>
    </w:p>
    <w:p>
      <w:pPr>
        <w:pStyle w:val="Heading5"/>
        <w:ind w:hanging="0" w:start="0"/>
        <w:rPr>
          <w:sz w:val="20"/>
        </w:rPr>
      </w:pPr>
      <w:r>
        <w:rPr>
          <w:sz w:val="20"/>
        </w:rPr>
        <w:t>Competitive Analysis/Intelligence</w:t>
      </w:r>
    </w:p>
    <w:p>
      <w:pPr>
        <w:pStyle w:val="Normal"/>
        <w:numPr>
          <w:ilvl w:val="0"/>
          <w:numId w:val="5"/>
        </w:numPr>
        <w:rPr>
          <w:rFonts w:cs="Arial"/>
          <w:sz w:val="20"/>
        </w:rPr>
      </w:pPr>
      <w:r>
        <w:rPr>
          <w:rFonts w:cs="Arial"/>
          <w:sz w:val="20"/>
        </w:rPr>
        <w:t>Please outline the current support that Competitive Analysis provides your business unit.</w:t>
      </w:r>
    </w:p>
    <w:p>
      <w:pPr>
        <w:pStyle w:val="Normal"/>
        <w:rPr>
          <w:rFonts w:cs="Arial"/>
          <w:sz w:val="20"/>
        </w:rPr>
      </w:pPr>
      <w:r>
        <w:rPr>
          <w:rFonts w:cs="Arial"/>
          <w:sz w:val="20"/>
        </w:rPr>
      </w:r>
    </w:p>
    <w:p>
      <w:pPr>
        <w:pStyle w:val="Normal"/>
        <w:rPr>
          <w:rFonts w:cs="Arial"/>
          <w:b/>
          <w:bCs/>
          <w:sz w:val="20"/>
        </w:rPr>
      </w:pPr>
      <w:r>
        <w:rPr>
          <w:rFonts w:cs="Arial"/>
          <w:b/>
          <w:bCs/>
          <w:sz w:val="20"/>
        </w:rPr>
        <w:t>What is not covered her but will be addresed:</w:t>
      </w:r>
    </w:p>
    <w:p>
      <w:pPr>
        <w:pStyle w:val="Normal"/>
        <w:numPr>
          <w:ilvl w:val="0"/>
          <w:numId w:val="5"/>
        </w:numPr>
        <w:rPr>
          <w:rFonts w:cs="Arial"/>
          <w:sz w:val="20"/>
        </w:rPr>
      </w:pPr>
      <w:r>
        <w:rPr>
          <w:rFonts w:cs="Arial"/>
          <w:sz w:val="20"/>
        </w:rPr>
        <w:t>Corporate Accounting</w:t>
      </w:r>
    </w:p>
    <w:p>
      <w:pPr>
        <w:pStyle w:val="Normal"/>
        <w:numPr>
          <w:ilvl w:val="0"/>
          <w:numId w:val="5"/>
        </w:numPr>
        <w:rPr>
          <w:rFonts w:cs="Arial"/>
          <w:sz w:val="20"/>
        </w:rPr>
      </w:pPr>
      <w:r>
        <w:rPr>
          <w:rFonts w:cs="Arial"/>
          <w:sz w:val="20"/>
        </w:rPr>
        <w:t>Corporate Legal</w:t>
      </w:r>
    </w:p>
    <w:p>
      <w:pPr>
        <w:pStyle w:val="Normal"/>
        <w:numPr>
          <w:ilvl w:val="0"/>
          <w:numId w:val="5"/>
        </w:numPr>
        <w:rPr>
          <w:rFonts w:cs="Arial"/>
          <w:sz w:val="20"/>
        </w:rPr>
      </w:pPr>
      <w:r>
        <w:rPr>
          <w:rFonts w:cs="Arial"/>
          <w:sz w:val="20"/>
        </w:rPr>
        <w:t>Principle Investments</w:t>
      </w:r>
    </w:p>
    <w:p>
      <w:pPr>
        <w:pStyle w:val="Normal"/>
        <w:numPr>
          <w:ilvl w:val="0"/>
          <w:numId w:val="5"/>
        </w:numPr>
        <w:rPr>
          <w:rFonts w:cs="Arial"/>
          <w:sz w:val="20"/>
        </w:rPr>
      </w:pPr>
      <w:r>
        <w:rPr>
          <w:rFonts w:cs="Arial"/>
          <w:sz w:val="20"/>
        </w:rPr>
        <w:t>Corporate Development</w:t>
      </w:r>
    </w:p>
    <w:p>
      <w:pPr>
        <w:pStyle w:val="Normal"/>
        <w:numPr>
          <w:ilvl w:val="0"/>
          <w:numId w:val="5"/>
        </w:numPr>
        <w:rPr>
          <w:rFonts w:cs="Arial"/>
          <w:sz w:val="20"/>
        </w:rPr>
      </w:pPr>
      <w:r>
        <w:rPr>
          <w:rFonts w:cs="Arial"/>
          <w:sz w:val="20"/>
        </w:rPr>
        <w:t>Investor Relations</w:t>
      </w:r>
    </w:p>
    <w:p>
      <w:pPr>
        <w:pStyle w:val="Normal"/>
        <w:rPr>
          <w:rFonts w:cs="Arial"/>
          <w:sz w:val="18"/>
        </w:rPr>
      </w:pPr>
      <w:r>
        <w:rPr>
          <w:rFonts w:cs="Arial"/>
          <w:sz w:val="18"/>
        </w:rPr>
      </w:r>
      <w:r>
        <w:br w:type="page"/>
      </w:r>
    </w:p>
    <w:p>
      <w:pPr>
        <w:pStyle w:val="Heading1"/>
        <w:ind w:hanging="0" w:start="0"/>
        <w:rPr>
          <w:rFonts w:ascii="Arial" w:hAnsi="Arial" w:cs="Arial"/>
        </w:rPr>
      </w:pPr>
      <w:r>
        <w:rPr>
          <w:rFonts w:cs="Arial" w:ascii="Arial" w:hAnsi="Arial"/>
        </w:rPr>
        <w:t>Government &amp; Regulatory Affairs</w:t>
      </w:r>
    </w:p>
    <w:p>
      <w:pPr>
        <w:pStyle w:val="Normal"/>
        <w:rPr>
          <w:rFonts w:ascii="Arial" w:hAnsi="Arial"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ind w:start="360" w:end="0"/>
        <w:rPr>
          <w:rFonts w:cs="Arial"/>
          <w:sz w:val="20"/>
        </w:rPr>
      </w:pPr>
      <w:r>
        <w:rPr>
          <w:rFonts w:cs="Arial"/>
          <w:sz w:val="20"/>
        </w:rPr>
      </w:r>
    </w:p>
    <w:p>
      <w:pPr>
        <w:pStyle w:val="Normal"/>
        <w:ind w:start="360" w:end="0"/>
        <w:rPr>
          <w:rFonts w:cs="Arial"/>
          <w:sz w:val="20"/>
        </w:rPr>
      </w:pPr>
      <w:r>
        <w:rPr>
          <w:rFonts w:cs="Arial"/>
          <w:sz w:val="20"/>
        </w:rPr>
      </w:r>
    </w:p>
    <w:p>
      <w:pPr>
        <w:pStyle w:val="BodyText3"/>
        <w:rPr>
          <w:rFonts w:cs="Arial"/>
          <w:sz w:val="20"/>
        </w:rPr>
      </w:pPr>
      <w:r>
        <w:rPr>
          <w:rFonts w:cs="Arial"/>
          <w:sz w:val="20"/>
        </w:rPr>
      </w:r>
    </w:p>
    <w:p>
      <w:pPr>
        <w:pStyle w:val="BodyText3"/>
        <w:rPr>
          <w:sz w:val="20"/>
        </w:rPr>
      </w:pPr>
      <w:r>
        <w:rPr>
          <w:sz w:val="20"/>
        </w:rPr>
      </w:r>
    </w:p>
    <w:p>
      <w:pPr>
        <w:pStyle w:val="BodyText3"/>
        <w:rPr>
          <w:sz w:val="20"/>
        </w:rPr>
      </w:pPr>
      <w:r>
        <w:rPr>
          <w:sz w:val="20"/>
        </w:rPr>
      </w:r>
    </w:p>
    <w:p>
      <w:pPr>
        <w:pStyle w:val="BodyText3"/>
        <w:rPr>
          <w:sz w:val="20"/>
        </w:rPr>
      </w:pPr>
      <w:r>
        <w:rPr>
          <w:sz w:val="20"/>
        </w:rPr>
      </w:r>
    </w:p>
    <w:p>
      <w:pPr>
        <w:pStyle w:val="BodyText3"/>
        <w:rPr>
          <w:sz w:val="20"/>
        </w:rPr>
      </w:pPr>
      <w:r>
        <w:rPr>
          <w:sz w:val="20"/>
        </w:rPr>
      </w:r>
    </w:p>
    <w:p>
      <w:pPr>
        <w:pStyle w:val="BodyText3"/>
        <w:rPr>
          <w:sz w:val="20"/>
        </w:rPr>
      </w:pPr>
      <w:r>
        <w:rPr>
          <w:sz w:val="20"/>
        </w:rPr>
        <w:t>Communications (Public relations)</w:t>
      </w:r>
    </w:p>
    <w:p>
      <w:pPr>
        <w:pStyle w:val="Normal"/>
        <w:ind w:start="360" w:end="0"/>
        <w:rPr>
          <w:rFonts w:cs="Arial"/>
          <w:sz w:val="20"/>
        </w:rPr>
      </w:pPr>
      <w:r>
        <w:rPr>
          <w:rFonts w:cs="Arial"/>
          <w:sz w:val="20"/>
        </w:rPr>
      </w:r>
      <w:r>
        <w:br w:type="page"/>
      </w:r>
    </w:p>
    <w:p>
      <w:pPr>
        <w:pStyle w:val="Normal"/>
        <w:rPr>
          <w:b/>
          <w:bCs/>
          <w:sz w:val="20"/>
        </w:rPr>
      </w:pPr>
      <w:r>
        <w:rPr>
          <w:b/>
          <w:bCs/>
          <w:sz w:val="20"/>
        </w:rPr>
        <w:t>Business Controls (John Brindle)</w:t>
      </w:r>
    </w:p>
    <w:p>
      <w:pPr>
        <w:pStyle w:val="Normal"/>
        <w:ind w:start="360" w:end="0"/>
        <w:rPr>
          <w:rFonts w:cs="Arial"/>
          <w:b/>
          <w:bCs/>
          <w:sz w:val="20"/>
        </w:rPr>
      </w:pPr>
      <w:r>
        <w:rPr>
          <w:rFonts w:cs="Arial"/>
          <w:b/>
          <w:bCs/>
          <w:sz w:val="20"/>
        </w:rPr>
      </w:r>
    </w:p>
    <w:p>
      <w:pPr>
        <w:pStyle w:val="Heading1"/>
        <w:ind w:hanging="0" w:start="0"/>
        <w:rPr>
          <w:rFonts w:ascii="Arial" w:hAnsi="Arial" w:cs="Arial"/>
          <w:sz w:val="20"/>
        </w:rPr>
      </w:pPr>
      <w:r>
        <w:rPr>
          <w:rFonts w:cs="Arial" w:ascii="Arial" w:hAnsi="Arial"/>
          <w:sz w:val="20"/>
        </w:rPr>
      </w:r>
    </w:p>
    <w:p>
      <w:pPr>
        <w:pStyle w:val="Normal"/>
        <w:rPr>
          <w:rFonts w:ascii="Arial" w:hAnsi="Arial" w:cs="Arial"/>
        </w:rPr>
      </w:pPr>
      <w:r>
        <w:rPr>
          <w:rFonts w:cs="Arial"/>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4"/>
        <w:ind w:hanging="0" w:start="0"/>
        <w:rPr>
          <w:rFonts w:cs="Arial"/>
          <w:sz w:val="20"/>
        </w:rPr>
      </w:pPr>
      <w:r>
        <w:rPr>
          <w:rFonts w:cs="Arial"/>
          <w:sz w:val="20"/>
        </w:rPr>
      </w:r>
    </w:p>
    <w:p>
      <w:pPr>
        <w:pStyle w:val="Heading4"/>
        <w:ind w:hanging="0" w:start="0"/>
        <w:rPr>
          <w:rFonts w:cs="Arial"/>
          <w:sz w:val="20"/>
        </w:rPr>
      </w:pPr>
      <w:r>
        <w:rPr>
          <w:rFonts w:cs="Arial"/>
          <w:sz w:val="20"/>
        </w:rPr>
      </w:r>
    </w:p>
    <w:p>
      <w:pPr>
        <w:pStyle w:val="Heading4"/>
        <w:ind w:hanging="0" w:start="0"/>
        <w:rPr>
          <w:rFonts w:cs="Arial"/>
          <w:sz w:val="20"/>
        </w:rPr>
      </w:pPr>
      <w:r>
        <w:rPr>
          <w:rFonts w:cs="Arial"/>
          <w:sz w:val="20"/>
        </w:rPr>
      </w:r>
    </w:p>
    <w:p>
      <w:pPr>
        <w:pStyle w:val="Heading4"/>
        <w:ind w:hanging="0" w:start="0"/>
        <w:rPr>
          <w:rFonts w:cs="Arial"/>
          <w:sz w:val="20"/>
        </w:rPr>
      </w:pPr>
      <w:r>
        <w:rPr>
          <w:rFonts w:cs="Arial"/>
          <w:sz w:val="20"/>
        </w:rPr>
      </w:r>
    </w:p>
    <w:p>
      <w:pPr>
        <w:pStyle w:val="Heading4"/>
        <w:ind w:hanging="0" w:start="0"/>
        <w:rPr>
          <w:rFonts w:cs="Arial"/>
          <w:sz w:val="20"/>
        </w:rPr>
      </w:pPr>
      <w:r>
        <w:rPr>
          <w:rFonts w:cs="Arial"/>
          <w:sz w:val="20"/>
        </w:rPr>
      </w:r>
    </w:p>
    <w:p>
      <w:pPr>
        <w:pStyle w:val="Heading4"/>
        <w:ind w:hanging="0" w:start="0"/>
        <w:rPr>
          <w:rFonts w:cs="Arial"/>
          <w:sz w:val="20"/>
        </w:rPr>
      </w:pPr>
      <w:r>
        <w:rPr>
          <w:rFonts w:cs="Arial"/>
          <w:sz w:val="20"/>
        </w:rPr>
      </w:r>
    </w:p>
    <w:p>
      <w:pPr>
        <w:pStyle w:val="Heading4"/>
        <w:ind w:hanging="0" w:start="0"/>
        <w:rPr>
          <w:rFonts w:cs="Arial"/>
          <w:sz w:val="20"/>
        </w:rPr>
      </w:pPr>
      <w:r>
        <w:rPr>
          <w:rFonts w:cs="Arial"/>
          <w:sz w:val="20"/>
        </w:rPr>
      </w:r>
    </w:p>
    <w:p>
      <w:pPr>
        <w:pStyle w:val="Heading4"/>
        <w:ind w:hanging="0" w:start="0"/>
        <w:rPr>
          <w:rFonts w:cs="Arial"/>
          <w:sz w:val="20"/>
        </w:rPr>
      </w:pPr>
      <w:r>
        <w:rPr>
          <w:rFonts w:cs="Arial"/>
          <w:sz w:val="20"/>
        </w:rPr>
      </w:r>
    </w:p>
    <w:p>
      <w:pPr>
        <w:pStyle w:val="Heading4"/>
        <w:ind w:hanging="0" w:start="0"/>
        <w:rPr>
          <w:rFonts w:cs="Arial"/>
          <w:sz w:val="20"/>
        </w:rPr>
      </w:pPr>
      <w:r>
        <w:rPr>
          <w:rFonts w:cs="Arial"/>
          <w:sz w:val="20"/>
        </w:rPr>
      </w:r>
    </w:p>
    <w:p>
      <w:pPr>
        <w:pStyle w:val="Heading4"/>
        <w:ind w:hanging="0" w:start="0"/>
        <w:rPr>
          <w:rFonts w:cs="Arial"/>
          <w:sz w:val="20"/>
        </w:rPr>
      </w:pPr>
      <w:r>
        <w:rPr>
          <w:rFonts w:cs="Arial"/>
          <w:sz w:val="20"/>
        </w:rPr>
      </w:r>
    </w:p>
    <w:p>
      <w:pPr>
        <w:pStyle w:val="Heading4"/>
        <w:ind w:hanging="0" w:start="0"/>
        <w:rPr>
          <w:rFonts w:cs="Arial"/>
          <w:sz w:val="20"/>
        </w:rPr>
      </w:pPr>
      <w:r>
        <w:rPr>
          <w:rFonts w:cs="Arial"/>
          <w:sz w:val="20"/>
        </w:rPr>
      </w:r>
    </w:p>
    <w:p>
      <w:pPr>
        <w:pStyle w:val="Heading4"/>
        <w:ind w:hanging="0" w:start="0"/>
        <w:rPr>
          <w:rFonts w:cs="Arial"/>
          <w:sz w:val="20"/>
        </w:rPr>
      </w:pPr>
      <w:r>
        <w:rPr>
          <w:rFonts w:cs="Arial"/>
          <w:sz w:val="20"/>
        </w:rPr>
      </w:r>
    </w:p>
    <w:p>
      <w:pPr>
        <w:pStyle w:val="Heading4"/>
        <w:ind w:hanging="0" w:start="0"/>
        <w:rPr>
          <w:rFonts w:cs="Arial"/>
          <w:sz w:val="20"/>
        </w:rPr>
      </w:pPr>
      <w:r>
        <w:rPr>
          <w:rFonts w:cs="Arial"/>
          <w:sz w:val="20"/>
        </w:rPr>
      </w:r>
    </w:p>
    <w:p>
      <w:pPr>
        <w:pStyle w:val="Heading4"/>
        <w:ind w:hanging="0" w:start="0"/>
        <w:rPr>
          <w:rFonts w:cs="Arial"/>
          <w:sz w:val="20"/>
        </w:rPr>
      </w:pPr>
      <w:r>
        <w:rPr>
          <w:rFonts w:cs="Arial"/>
          <w:sz w:val="20"/>
        </w:rPr>
      </w:r>
    </w:p>
    <w:p>
      <w:pPr>
        <w:pStyle w:val="Heading4"/>
        <w:ind w:hanging="0" w:start="0"/>
        <w:rPr>
          <w:rFonts w:cs="Arial"/>
          <w:sz w:val="20"/>
        </w:rPr>
      </w:pPr>
      <w:r>
        <w:rPr>
          <w:rFonts w:cs="Arial"/>
          <w:sz w:val="20"/>
        </w:rPr>
        <w:t>Aviation</w:t>
      </w:r>
    </w:p>
    <w:p>
      <w:pPr>
        <w:pStyle w:val="Normal"/>
        <w:rPr>
          <w:rFonts w:cs="Arial"/>
          <w:sz w:val="20"/>
        </w:rPr>
      </w:pPr>
      <w:r>
        <w:rPr>
          <w:rFonts w:cs="Arial"/>
          <w:sz w:val="20"/>
        </w:rPr>
      </w:r>
      <w:r>
        <w:br w:type="page"/>
      </w:r>
    </w:p>
    <w:p>
      <w:pPr>
        <w:pStyle w:val="Normal"/>
        <w:rPr>
          <w:rFonts w:cs="Arial"/>
          <w:b/>
          <w:bCs/>
          <w:sz w:val="20"/>
        </w:rPr>
      </w:pPr>
      <w:r>
        <w:rPr>
          <w:rFonts w:cs="Arial"/>
          <w:b/>
          <w:bCs/>
          <w:sz w:val="20"/>
        </w:rPr>
        <w:t>Human Resources</w:t>
      </w:r>
    </w:p>
    <w:p>
      <w:pPr>
        <w:pStyle w:val="BodyText"/>
        <w:ind w:start="360" w:end="0"/>
        <w:rPr>
          <w:rFonts w:ascii="Arial" w:hAnsi="Arial" w:cs="Arial"/>
          <w:b/>
          <w:bCs/>
          <w:sz w:val="20"/>
        </w:rPr>
      </w:pPr>
      <w:r>
        <w:rPr>
          <w:rFonts w:cs="Arial" w:ascii="Arial" w:hAnsi="Arial"/>
          <w:b/>
          <w:bCs/>
          <w:sz w:val="20"/>
        </w:rPr>
      </w:r>
    </w:p>
    <w:p>
      <w:pPr>
        <w:pStyle w:val="Normal"/>
        <w:rPr>
          <w:rFonts w:ascii="Arial" w:hAnsi="Arial" w:cs="Arial"/>
          <w:sz w:val="20"/>
        </w:rPr>
      </w:pPr>
      <w:r>
        <w:rPr>
          <w:rFonts w:cs="Arial"/>
          <w:sz w:val="20"/>
        </w:rPr>
      </w:r>
    </w:p>
    <w:p>
      <w:pPr>
        <w:pStyle w:val="Heading1"/>
        <w:ind w:hanging="0" w:start="0"/>
        <w:rPr>
          <w:rFonts w:ascii="Arial" w:hAnsi="Arial" w:cs="Arial"/>
          <w:sz w:val="20"/>
        </w:rPr>
      </w:pPr>
      <w:r>
        <w:rPr>
          <w:rFonts w:cs="Arial" w:ascii="Arial" w:hAnsi="Arial"/>
          <w:sz w:val="20"/>
        </w:rPr>
      </w:r>
    </w:p>
    <w:p>
      <w:pPr>
        <w:pStyle w:val="Heading1"/>
        <w:ind w:hanging="0" w:start="0"/>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Corporate Responsibilities (University relations, social responsibility, event &amp; employee program, diversity and corporate communications)</w:t>
      </w:r>
    </w:p>
    <w:p>
      <w:pPr>
        <w:pStyle w:val="Normal"/>
        <w:rPr>
          <w:rFonts w:ascii="Arial" w:hAnsi="Arial" w:cs="Arial"/>
          <w:b/>
          <w:bCs/>
          <w:sz w:val="20"/>
        </w:rPr>
      </w:pPr>
      <w:r>
        <w:rPr>
          <w:rFonts w:cs="Arial"/>
          <w:b/>
          <w:bCs/>
          <w:sz w:val="20"/>
        </w:rPr>
      </w:r>
      <w:r>
        <w:br w:type="page"/>
      </w:r>
    </w:p>
    <w:p>
      <w:pPr>
        <w:pStyle w:val="Normal"/>
        <w:rPr>
          <w:rFonts w:cs="Arial"/>
          <w:b/>
          <w:bCs/>
          <w:sz w:val="20"/>
        </w:rPr>
      </w:pPr>
      <w:r>
        <w:rPr>
          <w:rFonts w:cs="Arial"/>
          <w:b/>
          <w:bCs/>
          <w:sz w:val="20"/>
        </w:rPr>
        <w:t>Risk Assessment and Control (RAC)</w:t>
      </w:r>
    </w:p>
    <w:p>
      <w:pPr>
        <w:pStyle w:val="BodyText"/>
        <w:rPr>
          <w:rFonts w:ascii="Arial" w:hAnsi="Arial" w:cs="Arial"/>
          <w:b/>
          <w:bCs/>
          <w:sz w:val="20"/>
        </w:rPr>
      </w:pPr>
      <w:r>
        <w:rPr>
          <w:rFonts w:cs="Arial" w:ascii="Arial" w:hAnsi="Arial"/>
          <w:b/>
          <w:bCs/>
          <w:sz w:val="20"/>
        </w:rPr>
      </w:r>
    </w:p>
    <w:p>
      <w:pPr>
        <w:pStyle w:val="BodyText"/>
        <w:rPr>
          <w:rFonts w:ascii="Arial" w:hAnsi="Arial" w:cs="Arial"/>
          <w:b/>
          <w:bCs/>
        </w:rPr>
      </w:pPr>
      <w:r>
        <w:rPr>
          <w:rFonts w:cs="Arial" w:ascii="Arial" w:hAnsi="Arial"/>
          <w:b/>
          <w:bCs/>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Normal"/>
        <w:rPr>
          <w:rFonts w:ascii="Arial" w:hAnsi="Arial" w:cs="Arial"/>
          <w:b/>
          <w:bCs/>
          <w:sz w:val="20"/>
        </w:rPr>
      </w:pPr>
      <w:r>
        <w:rPr>
          <w:rFonts w:cs="Arial"/>
          <w:b/>
          <w:bCs/>
          <w:sz w:val="20"/>
        </w:rPr>
      </w:r>
    </w:p>
    <w:p>
      <w:pPr>
        <w:pStyle w:val="Normal"/>
        <w:rPr>
          <w:rFonts w:cs="Arial"/>
          <w:b/>
          <w:bCs/>
          <w:sz w:val="20"/>
        </w:rPr>
      </w:pPr>
      <w:r>
        <w:rPr>
          <w:rFonts w:cs="Arial"/>
          <w:b/>
          <w:bCs/>
          <w:sz w:val="20"/>
        </w:rPr>
      </w:r>
    </w:p>
    <w:p>
      <w:pPr>
        <w:pStyle w:val="Normal"/>
        <w:rPr>
          <w:rFonts w:cs="Arial"/>
          <w:b/>
          <w:bCs/>
          <w:sz w:val="20"/>
        </w:rPr>
      </w:pPr>
      <w:r>
        <w:rPr>
          <w:rFonts w:cs="Arial"/>
          <w:b/>
          <w:bCs/>
          <w:sz w:val="20"/>
        </w:rPr>
      </w:r>
    </w:p>
    <w:p>
      <w:pPr>
        <w:pStyle w:val="Normal"/>
        <w:rPr>
          <w:rFonts w:cs="Arial"/>
          <w:b/>
          <w:bCs/>
          <w:sz w:val="20"/>
        </w:rPr>
      </w:pPr>
      <w:r>
        <w:rPr>
          <w:rFonts w:cs="Arial"/>
          <w:b/>
          <w:bCs/>
          <w:sz w:val="20"/>
        </w:rPr>
      </w:r>
    </w:p>
    <w:p>
      <w:pPr>
        <w:pStyle w:val="Normal"/>
        <w:rPr>
          <w:rFonts w:cs="Arial"/>
          <w:b/>
          <w:bCs/>
          <w:sz w:val="20"/>
        </w:rPr>
      </w:pPr>
      <w:r>
        <w:rPr>
          <w:rFonts w:cs="Arial"/>
          <w:b/>
          <w:bCs/>
          <w:sz w:val="20"/>
        </w:rPr>
      </w:r>
    </w:p>
    <w:p>
      <w:pPr>
        <w:pStyle w:val="Normal"/>
        <w:rPr>
          <w:rFonts w:cs="Arial"/>
          <w:b/>
          <w:bCs/>
          <w:sz w:val="20"/>
        </w:rPr>
      </w:pPr>
      <w:r>
        <w:rPr>
          <w:rFonts w:cs="Arial"/>
          <w:b/>
          <w:bCs/>
          <w:sz w:val="20"/>
        </w:rPr>
        <w:t>Strategic Sourcing (e.g. iBuyit, iPayit, and Travel Agency in the Park)</w:t>
      </w:r>
    </w:p>
    <w:p>
      <w:pPr>
        <w:pStyle w:val="Normal"/>
        <w:rPr>
          <w:rFonts w:cs="Arial"/>
          <w:b/>
          <w:bCs/>
          <w:sz w:val="20"/>
        </w:rPr>
      </w:pPr>
      <w:r>
        <w:rPr>
          <w:rFonts w:cs="Arial"/>
          <w:b/>
          <w:bCs/>
          <w:sz w:val="20"/>
        </w:rPr>
      </w:r>
      <w:r>
        <w:br w:type="page"/>
      </w:r>
    </w:p>
    <w:p>
      <w:pPr>
        <w:pStyle w:val="Heading5"/>
        <w:ind w:hanging="0" w:start="0"/>
        <w:rPr>
          <w:sz w:val="20"/>
        </w:rPr>
      </w:pPr>
      <w:r>
        <w:rPr>
          <w:sz w:val="20"/>
        </w:rPr>
        <w:t>Research</w:t>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Normal"/>
        <w:rPr>
          <w:rFonts w:cs="Arial"/>
          <w:sz w:val="20"/>
        </w:rPr>
      </w:pPr>
      <w:r>
        <w:rPr>
          <w:rFonts w:cs="Arial"/>
          <w:sz w:val="20"/>
        </w:rPr>
      </w:r>
    </w:p>
    <w:p>
      <w:pPr>
        <w:pStyle w:val="Heading5"/>
        <w:ind w:hanging="0" w:start="0"/>
        <w:rPr>
          <w:rFonts w:cs="Arial"/>
          <w:sz w:val="20"/>
        </w:rPr>
      </w:pPr>
      <w:r>
        <w:rPr>
          <w:rFonts w:cs="Arial"/>
          <w:sz w:val="20"/>
        </w:rPr>
      </w:r>
    </w:p>
    <w:p>
      <w:pPr>
        <w:pStyle w:val="Heading5"/>
        <w:ind w:hanging="0" w:start="0"/>
        <w:rPr>
          <w:sz w:val="20"/>
        </w:rPr>
      </w:pPr>
      <w:r>
        <w:rPr>
          <w:sz w:val="20"/>
        </w:rPr>
      </w:r>
    </w:p>
    <w:p>
      <w:pPr>
        <w:pStyle w:val="Heading5"/>
        <w:ind w:hanging="0" w:start="0"/>
        <w:rPr>
          <w:sz w:val="20"/>
        </w:rPr>
      </w:pPr>
      <w:r>
        <w:rPr>
          <w:sz w:val="20"/>
        </w:rPr>
      </w:r>
    </w:p>
    <w:p>
      <w:pPr>
        <w:pStyle w:val="Heading5"/>
        <w:ind w:hanging="0" w:start="0"/>
        <w:rPr>
          <w:sz w:val="20"/>
        </w:rPr>
      </w:pPr>
      <w:r>
        <w:rPr>
          <w:sz w:val="20"/>
        </w:rPr>
      </w:r>
    </w:p>
    <w:p>
      <w:pPr>
        <w:pStyle w:val="Heading5"/>
        <w:ind w:hanging="0" w:start="0"/>
        <w:rPr>
          <w:sz w:val="20"/>
        </w:rPr>
      </w:pPr>
      <w:r>
        <w:rPr>
          <w:sz w:val="20"/>
        </w:rPr>
      </w:r>
    </w:p>
    <w:p>
      <w:pPr>
        <w:pStyle w:val="Heading5"/>
        <w:ind w:hanging="0" w:start="0"/>
        <w:rPr>
          <w:sz w:val="20"/>
        </w:rPr>
      </w:pPr>
      <w:r>
        <w:rPr>
          <w:sz w:val="20"/>
        </w:rPr>
      </w:r>
    </w:p>
    <w:p>
      <w:pPr>
        <w:pStyle w:val="Heading5"/>
        <w:ind w:hanging="0" w:start="0"/>
        <w:rPr>
          <w:sz w:val="20"/>
        </w:rPr>
      </w:pPr>
      <w:r>
        <w:rPr>
          <w:sz w:val="20"/>
        </w:rPr>
      </w:r>
    </w:p>
    <w:p>
      <w:pPr>
        <w:pStyle w:val="Heading5"/>
        <w:ind w:hanging="0" w:start="0"/>
        <w:rPr>
          <w:sz w:val="20"/>
        </w:rPr>
      </w:pPr>
      <w:r>
        <w:rPr>
          <w:sz w:val="20"/>
        </w:rPr>
        <w:t>Competitive Analysis/Intelligence</w:t>
      </w:r>
    </w:p>
    <w:p>
      <w:pPr>
        <w:pStyle w:val="Normal"/>
        <w:rPr>
          <w:rFonts w:cs="Arial"/>
          <w:sz w:val="20"/>
        </w:rPr>
      </w:pPr>
      <w:r>
        <w:rPr>
          <w:rFonts w:cs="Arial"/>
          <w:sz w:val="20"/>
        </w:rPr>
        <w:t>.</w:t>
      </w:r>
    </w:p>
    <w:p>
      <w:pPr>
        <w:pStyle w:val="Normal"/>
        <w:rPr>
          <w:rFonts w:cs="Arial"/>
          <w:sz w:val="20"/>
        </w:rPr>
      </w:pPr>
      <w:r>
        <w:rPr>
          <w:rFonts w:cs="Arial"/>
          <w:sz w:val="20"/>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sz w:val="12"/>
      </w:rPr>
    </w:pPr>
    <w:r>
      <w:rPr>
        <w:sz w:val="12"/>
      </w:rPr>
    </w:r>
  </w:p>
  <w:p>
    <w:pPr>
      <w:pStyle w:val="Footer"/>
      <w:tabs>
        <w:tab w:val="clear" w:pos="4320"/>
        <w:tab w:val="left" w:pos="3780" w:leader="none"/>
        <w:tab w:val="center" w:pos="7560" w:leader="none"/>
        <w:tab w:val="right" w:pos="8640" w:leader="none"/>
      </w:tabs>
      <w:rPr>
        <w:sz w:val="12"/>
      </w:rPr>
    </w:pPr>
    <w:r>
      <w:rPr>
        <w:sz w:val="12"/>
      </w:rPr>
    </w:r>
  </w:p>
  <w:p>
    <w:pPr>
      <w:pStyle w:val="Footer"/>
      <w:tabs>
        <w:tab w:val="clear" w:pos="4320"/>
        <w:tab w:val="left" w:pos="3780" w:leader="none"/>
        <w:tab w:val="center" w:pos="7560" w:leader="none"/>
        <w:tab w:val="right" w:pos="8640" w:leader="none"/>
      </w:tabs>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sz w:val="20"/>
      </w:rPr>
      <w:t>7</w:t>
    </w:r>
    <w:r>
      <w:rPr>
        <w:sz w:val="20"/>
      </w:rPr>
      <w:fldChar w:fldCharType="end"/>
    </w:r>
  </w:p>
  <w:p>
    <w:pPr>
      <w:pStyle w:val="Header"/>
      <w:rPr>
        <w:sz w:val="20"/>
      </w:rPr>
    </w:pPr>
    <w:r>
      <w:rPr>
        <w:sz w:val="20"/>
      </w:rPr>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3365500</wp:posOffset>
              </wp:positionH>
              <wp:positionV relativeFrom="paragraph">
                <wp:posOffset>273050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5pt;mso-position-vertical-relative:text;margin-left:265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1440"/>
        </w:tabs>
        <w:ind w:start="1440" w:hanging="360"/>
      </w:pPr>
      <w:rPr>
        <w:rFonts w:ascii="Symbol" w:hAnsi="Symbol" w:cs="Symbol" w:hint="default"/>
      </w:rPr>
    </w:lvl>
  </w:abstractNum>
  <w:abstractNum w:abstractNumId="9">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verflowPunct w:val="true"/>
      <w:autoSpaceDE w:val="true"/>
      <w:textAlignment w:val="auto"/>
      <w:outlineLvl w:val="0"/>
    </w:pPr>
    <w:rPr>
      <w:rFonts w:ascii="Times New Roman" w:hAnsi="Times New Roman" w:cs="Times New Roman"/>
      <w:b/>
      <w:bCs/>
      <w:sz w:val="20"/>
      <w:szCs w:val="24"/>
    </w:rPr>
  </w:style>
  <w:style w:type="paragraph" w:styleId="Heading2">
    <w:name w:val="heading 2"/>
    <w:basedOn w:val="Normal"/>
    <w:next w:val="Normal"/>
    <w:qFormat/>
    <w:pPr>
      <w:keepNext w:val="true"/>
      <w:numPr>
        <w:ilvl w:val="1"/>
        <w:numId w:val="1"/>
      </w:numPr>
      <w:outlineLvl w:val="1"/>
    </w:pPr>
    <w:rPr>
      <w:b/>
      <w:bCs/>
      <w:sz w:val="18"/>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outlineLvl w:val="3"/>
    </w:pPr>
    <w:rPr>
      <w:b/>
      <w:bCs/>
    </w:rPr>
  </w:style>
  <w:style w:type="paragraph" w:styleId="Heading5">
    <w:name w:val="heading 5"/>
    <w:basedOn w:val="Normal"/>
    <w:next w:val="Normal"/>
    <w:qFormat/>
    <w:pPr>
      <w:keepNext w:val="true"/>
      <w:numPr>
        <w:ilvl w:val="4"/>
        <w:numId w:val="1"/>
      </w:numPr>
      <w:outlineLvl w:val="4"/>
    </w:pPr>
    <w:rPr>
      <w:rFonts w:cs="Arial"/>
      <w:b/>
      <w:bCs/>
      <w:sz w:val="1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overflowPunct w:val="true"/>
      <w:autoSpaceDE w:val="true"/>
      <w:textAlignment w:val="auto"/>
    </w:pPr>
    <w:rPr>
      <w:rFonts w:ascii="Times New Roman" w:hAnsi="Times New Roman" w:cs="Times New Roman"/>
      <w:sz w:val="20"/>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2">
    <w:name w:val="Body Text 2"/>
    <w:basedOn w:val="Normal"/>
    <w:qFormat/>
    <w:pPr/>
    <w:rPr>
      <w:sz w:val="18"/>
    </w:rPr>
  </w:style>
  <w:style w:type="paragraph" w:styleId="BodyText3">
    <w:name w:val="Body Text 3"/>
    <w:basedOn w:val="Normal"/>
    <w:qFormat/>
    <w:pPr/>
    <w:rPr>
      <w:rFonts w:cs="Arial"/>
      <w:b/>
      <w:bCs/>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 Memo.dot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2001-11-17T16:58:00Z</dcterms:created>
  <dc:creator>Jeff Ford</dc:creator>
  <dc:description/>
  <dc:language>en-CA</dc:language>
  <cp:lastModifiedBy>Jim Fallon</cp:lastModifiedBy>
  <cp:lastPrinted>2001-11-17T13:14:00Z</cp:lastPrinted>
  <dcterms:modified xsi:type="dcterms:W3CDTF">2001-11-17T16:58:00Z</dcterms:modified>
  <cp:revision>2</cp:revision>
  <dc:subject/>
  <dc:title>Eron Capital &amp; Trade Resources Memo</dc:title>
</cp:coreProperties>
</file>