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Restrictions on Enron posting EnronOnline prices and (or) transactions:</w:t>
      </w:r>
    </w:p>
    <w:p>
      <w:pPr>
        <w:pStyle w:val="Normal"/>
        <w:rPr/>
      </w:pPr>
      <w:r>
        <w:rPr/>
      </w:r>
    </w:p>
    <w:p>
      <w:pPr>
        <w:pStyle w:val="Normal"/>
        <w:numPr>
          <w:ilvl w:val="0"/>
          <w:numId w:val="1"/>
        </w:numPr>
        <w:rPr/>
      </w:pPr>
      <w:r>
        <w:rPr/>
        <w:t>EOL transaction data license is exclusive for all transactions emanating from EOL with the exception of Enron posting bid and ask pricing information on other exchanges such as TrueQoute and Houston Street (these particular deals as well as the Kiodex deal are grandfathered, but none others).</w:t>
      </w:r>
    </w:p>
    <w:p>
      <w:pPr>
        <w:pStyle w:val="Normal"/>
        <w:numPr>
          <w:ilvl w:val="0"/>
          <w:numId w:val="1"/>
        </w:numPr>
        <w:rPr/>
      </w:pPr>
      <w:r>
        <w:rPr/>
        <w:t>For deals pertaining to EOL posting Enron prices on other exchanges, the following options will be pursued in order:</w:t>
      </w:r>
    </w:p>
    <w:p>
      <w:pPr>
        <w:pStyle w:val="Normal"/>
        <w:numPr>
          <w:ilvl w:val="1"/>
          <w:numId w:val="1"/>
        </w:numPr>
        <w:rPr/>
      </w:pPr>
      <w:r>
        <w:rPr/>
        <w:t>Enron will negotiate with the exchange that the transaction data is not a part of the deal.</w:t>
      </w:r>
    </w:p>
    <w:p>
      <w:pPr>
        <w:pStyle w:val="Normal"/>
        <w:numPr>
          <w:ilvl w:val="1"/>
          <w:numId w:val="1"/>
        </w:numPr>
        <w:rPr/>
      </w:pPr>
      <w:r>
        <w:rPr/>
        <w:t>If this is unsuccessful, Enron facilitates Accenture negotiating with the exchange directly for the purpose of getting TSH transaction routing agreement.</w:t>
      </w:r>
    </w:p>
    <w:p>
      <w:pPr>
        <w:pStyle w:val="Normal"/>
        <w:numPr>
          <w:ilvl w:val="1"/>
          <w:numId w:val="1"/>
        </w:numPr>
        <w:rPr/>
      </w:pPr>
      <w:r>
        <w:rPr/>
        <w:t>If this is unsuccessful, Enron will pay Accenture a penalty based on the schedule laid out in 3).</w:t>
      </w:r>
    </w:p>
    <w:p>
      <w:pPr>
        <w:pStyle w:val="Normal"/>
        <w:numPr>
          <w:ilvl w:val="0"/>
          <w:numId w:val="1"/>
        </w:numPr>
        <w:rPr/>
      </w:pPr>
      <w:r>
        <w:rPr/>
        <w:t>Penalty schedule:</w:t>
      </w:r>
    </w:p>
    <w:p>
      <w:pPr>
        <w:pStyle w:val="Normal"/>
        <w:numPr>
          <w:ilvl w:val="1"/>
          <w:numId w:val="1"/>
        </w:numPr>
        <w:rPr/>
      </w:pPr>
      <w:r>
        <w:rPr/>
        <w:t>For the first posting price arrangement, Enron relieves Accenture of all remaining committed contract payments (residual to the $5M floor).</w:t>
      </w:r>
    </w:p>
    <w:p>
      <w:pPr>
        <w:pStyle w:val="Normal"/>
        <w:numPr>
          <w:ilvl w:val="1"/>
          <w:numId w:val="1"/>
        </w:numPr>
        <w:rPr/>
      </w:pPr>
      <w:r>
        <w:rPr/>
        <w:t>For each successive posting price arrangement, Enron’s percentage take of the gross proceeds of the TSH is reduced by 5%</w:t>
      </w:r>
    </w:p>
    <w:p>
      <w:pPr>
        <w:pStyle w:val="Normal"/>
        <w:numPr>
          <w:ilvl w:val="0"/>
          <w:numId w:val="1"/>
        </w:numPr>
        <w:rPr/>
      </w:pPr>
      <w:r>
        <w:rPr/>
        <w:t>Additionally, for the deals where EOL data resides non-exclusively on more than one exchange, Accenture will pay the royalty associated with that transaction only once (i.e., if the transaction is routed from EOL to a counterparty,  Enron receives the 30% royalty. If the transaction is routed to a counterparty from another exchange, that exchange receives the royalty (if they have signed up with the TSH)).</w:t>
      </w:r>
    </w:p>
    <w:p>
      <w:pPr>
        <w:pStyle w:val="Normal"/>
        <w:numPr>
          <w:ilvl w:val="0"/>
          <w:numId w:val="1"/>
        </w:numPr>
        <w:rPr/>
      </w:pPr>
      <w:r>
        <w:rPr/>
        <w:t>Enron will not enter into a posting price deal that invokes the non-exclusivity component of this contract for a minimum of 3 months.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2001-05-14T13:57:00Z</dcterms:created>
  <dc:creator>Andy Zipper</dc:creator>
  <dc:description/>
  <dc:language>en-CA</dc:language>
  <cp:lastModifiedBy>Peggy A. Kostial</cp:lastModifiedBy>
  <cp:lastPrinted>2001-05-14T11:55:00Z</cp:lastPrinted>
  <dcterms:modified xsi:type="dcterms:W3CDTF">2001-05-14T14:56:00Z</dcterms:modified>
  <cp:revision>4</cp:revision>
  <dc:subject/>
  <dc:title>Restrictions on Enron posting EnronOnline prices</dc:title>
</cp:coreProperties>
</file>