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b/>
          <w:smallCaps/>
          <w:sz w:val="32"/>
        </w:rPr>
      </w:pPr>
      <w:r>
        <w:rPr>
          <w:b/>
          <w:smallCaps/>
          <w:sz w:val="32"/>
        </w:rPr>
        <w:t>ENRON EUROPE</w:t>
      </w:r>
    </w:p>
    <w:p>
      <w:pPr>
        <w:pStyle w:val="Normal"/>
        <w:spacing w:lineRule="auto" w:line="480"/>
        <w:jc w:val="center"/>
        <w:rPr>
          <w:smallCaps/>
          <w:sz w:val="32"/>
        </w:rPr>
      </w:pPr>
      <w:r>
        <w:rPr>
          <w:b/>
          <w:smallCaps/>
          <w:sz w:val="32"/>
        </w:rPr>
        <w:t>Restricted List Procedure</w:t>
      </w:r>
    </w:p>
    <w:p>
      <w:pPr>
        <w:pStyle w:val="Heading3"/>
        <w:tabs>
          <w:tab w:val="clear" w:pos="1418"/>
          <w:tab w:val="left" w:pos="70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08" w:start="708" w:end="0"/>
        <w:rPr>
          <w:b/>
        </w:rPr>
      </w:pPr>
      <w:r>
        <w:rPr>
          <w:b/>
        </w:rPr>
        <w:t>Introduction</w:t>
      </w:r>
    </w:p>
    <w:p>
      <w:pPr>
        <w:pStyle w:val="Normal"/>
        <w:spacing w:lineRule="auto" w:line="480"/>
        <w:ind w:start="709" w:end="0"/>
        <w:rPr/>
      </w:pPr>
      <w:r>
        <w:rPr/>
        <w:t>In the United Kingdom insider dealing is a criminal offence punishable by fine and/or imprisonment of up to seven years.</w:t>
      </w:r>
    </w:p>
    <w:p>
      <w:pPr>
        <w:pStyle w:val="Normal"/>
        <w:spacing w:lineRule="auto" w:line="480"/>
        <w:ind w:start="709" w:end="0"/>
        <w:rPr/>
      </w:pPr>
      <w:r>
        <w:rPr/>
        <w:t>Insider dealing offences may be committed by individuals who have “inside information” and who either deal in relevant securities, encourage another person (including a person outside the UK) to deal or who disclose that inside information other than in the proper discharge of their duties.  Broadly speaking, inside information comprises unpublished price-sensitive information relating to a company and/or its securities, such as information relating to a proposed merger or takeover or to an asset deal or large trade carried out with a counterparty which could have a material effect on the value of its securities.</w:t>
      </w:r>
    </w:p>
    <w:p>
      <w:pPr>
        <w:pStyle w:val="Normal"/>
        <w:spacing w:lineRule="auto" w:line="480"/>
        <w:ind w:start="709" w:end="0"/>
        <w:rPr/>
      </w:pPr>
      <w:r>
        <w:rPr/>
        <w:t>The inside dealing offences apply to a wide range of listed securities such as shares or bonds and also to derivatives (such as credit derivatives) which have a listed security as their reference asset.</w:t>
      </w:r>
    </w:p>
    <w:p>
      <w:pPr>
        <w:pStyle w:val="Normal"/>
        <w:spacing w:lineRule="auto" w:line="480"/>
        <w:ind w:start="709" w:end="0"/>
        <w:rPr/>
      </w:pPr>
      <w:r>
        <w:rPr/>
        <w:t>Further information regarding insider dealing is contained in Chapter X of the Firm’s Compliance Manual.  If you are uncertain as to how the law applies to you in any particular case you must speak to the Compliance Officer.</w:t>
      </w:r>
    </w:p>
    <w:p>
      <w:pPr>
        <w:pStyle w:val="Heading3"/>
        <w:tabs>
          <w:tab w:val="clear" w:pos="1418"/>
          <w:tab w:val="left" w:pos="70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08" w:start="708" w:end="0"/>
        <w:rPr>
          <w:b/>
        </w:rPr>
      </w:pPr>
      <w:r>
        <w:rPr>
          <w:b/>
        </w:rPr>
        <w:t>The Restricted List</w:t>
      </w:r>
    </w:p>
    <w:p>
      <w:pPr>
        <w:pStyle w:val="Normal"/>
        <w:spacing w:lineRule="auto" w:line="480"/>
        <w:ind w:start="709" w:end="0"/>
        <w:rPr/>
      </w:pPr>
      <w:r>
        <w:rPr/>
        <w:t>The Firm has established a Restricted List procedure which is designed to ensure that no dealings take place in securities (and related derivatives) where an employee of the Firm is or may be in possession of inside information.  The Restricted List is a list of the names of issuers (including companies, governments and other public bodies), the securities (and related derivatives) are subject to restrictions on trading for proprietary accounts and personal accounts.  It is essential that employees be alert to circumstances that might require the placement of an issuer on the Restricted List.  In addition to complying with the Restricted List procedure you should comply with your obligations under the Firm’s Personal Account Notice relating to personal account dealings.</w:t>
      </w:r>
    </w:p>
    <w:p>
      <w:pPr>
        <w:pStyle w:val="Heading3"/>
        <w:tabs>
          <w:tab w:val="clear" w:pos="1418"/>
          <w:tab w:val="left" w:pos="70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08" w:start="708" w:end="0"/>
        <w:rPr>
          <w:b/>
        </w:rPr>
      </w:pPr>
      <w:r>
        <w:rPr>
          <w:b/>
        </w:rPr>
        <w:t>Use of the Restricted List</w:t>
      </w:r>
    </w:p>
    <w:p>
      <w:pPr>
        <w:pStyle w:val="Normal"/>
        <w:spacing w:lineRule="auto" w:line="480"/>
        <w:ind w:start="709" w:end="0"/>
        <w:rPr/>
      </w:pPr>
      <w:r>
        <w:rPr/>
        <w:t>The Restricted List is solely for the internal use of the Firm.  No one should engage in discussions regarding whether an issuer is or is not on the Restricted List with persons outside the Firm without specific clearance from the Firm’s Compliance Officer, Paul Simons, or from either of the following members of the firm’s legal department, Michael Brown or Mark Elliott (each a “Designated Person”).</w:t>
      </w:r>
    </w:p>
    <w:p>
      <w:pPr>
        <w:pStyle w:val="Normal"/>
        <w:spacing w:lineRule="auto" w:line="480"/>
        <w:ind w:start="709" w:end="0"/>
        <w:rPr/>
      </w:pPr>
      <w:r>
        <w:rPr/>
        <w:t xml:space="preserve">The Restricted List is maintained by the Compliance Officer.  It will not be distributed to employees of the Firm.  </w:t>
      </w:r>
      <w:r>
        <w:rPr>
          <w:b/>
        </w:rPr>
        <w:t xml:space="preserve">The onus is on each employee to check with the Compliance Officer or a Designated Person as to whether or not the name of a particular issuer of securities is on the Restricted List.  It is recommended that such checks be made at an early stage in any transaction involving listed securities (i.e. during negotiation).  It is </w:t>
      </w:r>
      <w:r>
        <w:rPr>
          <w:b/>
          <w:u w:val="single"/>
        </w:rPr>
        <w:t>essential</w:t>
      </w:r>
      <w:r>
        <w:rPr>
          <w:b/>
        </w:rPr>
        <w:t xml:space="preserve"> that such checks be made prior to closing such a transaction.</w:t>
      </w:r>
    </w:p>
    <w:p>
      <w:pPr>
        <w:pStyle w:val="Heading3"/>
        <w:tabs>
          <w:tab w:val="clear" w:pos="1418"/>
          <w:tab w:val="left" w:pos="70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08" w:start="708" w:end="0"/>
        <w:rPr>
          <w:b/>
        </w:rPr>
      </w:pPr>
      <w:r>
        <w:rPr>
          <w:b/>
        </w:rPr>
        <w:t xml:space="preserve">Prohibitions relating to Restricted List </w:t>
      </w:r>
    </w:p>
    <w:p>
      <w:pPr>
        <w:pStyle w:val="BodyTextIndent2"/>
        <w:spacing w:lineRule="auto" w:line="480"/>
        <w:rPr/>
      </w:pPr>
      <w:r>
        <w:rPr/>
        <w:t xml:space="preserve">The placement of an issuer on the Restricted List generally restricts trading in the listed securities of that issuer (and related derivatives) unless an exemption is granted by the Compliance Officer or a Designated Person.  </w:t>
      </w:r>
      <w:r>
        <w:rPr>
          <w:b/>
        </w:rPr>
        <w:t>This means that, absent an exemption, trading for proprietary accounts and personal accounts and the recommendation of transactions are prohibited in relation to any issuer whose name is on the Restricted List.</w:t>
      </w:r>
    </w:p>
    <w:p>
      <w:pPr>
        <w:pStyle w:val="Heading3"/>
        <w:tabs>
          <w:tab w:val="clear" w:pos="1418"/>
          <w:tab w:val="left" w:pos="70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08" w:start="708" w:end="0"/>
        <w:rPr>
          <w:b/>
        </w:rPr>
      </w:pPr>
      <w:r>
        <w:rPr>
          <w:b/>
        </w:rPr>
        <w:t>The Restricted List Procedure</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480"/>
        <w:ind w:hanging="360" w:start="1069" w:end="0"/>
        <w:rPr/>
      </w:pPr>
      <w:r>
        <w:rPr/>
        <w:t xml:space="preserve">Any employee in a business group who has “inside information” should promptly inform the head of their group (a “Group Head”). </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480"/>
        <w:ind w:hanging="360" w:start="1069" w:end="0"/>
        <w:rPr/>
      </w:pPr>
      <w:r>
        <w:rPr/>
        <w:t>The Group Head should promptly inform the Compliance Officer or a Designated Person who will then determine whether or not the issuer should be added to the Restricted List.  The information should be promptly confirmed by the Group Head by note mail.</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480"/>
        <w:ind w:hanging="360" w:start="1069" w:end="0"/>
        <w:rPr/>
      </w:pPr>
      <w:r>
        <w:rPr/>
        <w:t>If any employee is unable to inform a Group Head promptly, he/she should inform the Compliance Officer or a Designated Person directly.</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480"/>
        <w:ind w:hanging="360" w:start="1069" w:end="0"/>
        <w:rPr/>
      </w:pPr>
      <w:r>
        <w:rPr/>
        <w:t>Where an issuer is placed on the Restricted List, the name of the individual who instigated its being placed there, together with the reason for its inclusion, will be recorded on the List.</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480"/>
        <w:ind w:hanging="360" w:start="1069" w:end="0"/>
        <w:rPr/>
      </w:pPr>
      <w:r>
        <w:rPr/>
        <w:t>It is the responsibility of that individual and the relevant Group Head to notify the Compliance Officer of any change of circumstances which should result in the issuer’s name being removed from the List.  Only the Compliance Officer may remove an issuer from the Restricted List.</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480"/>
        <w:ind w:hanging="360" w:start="1069" w:end="0"/>
        <w:rPr/>
      </w:pPr>
      <w:r>
        <w:rPr/>
        <w:t>No person wishing to add or remove any particular issuer to or from the Restricted List should communicate this to any person other than the relevant Group Head, the Compliance Officer or Designated Person.</w:t>
      </w:r>
    </w:p>
    <w:p>
      <w:pPr>
        <w:pStyle w:val="Normal"/>
        <w:spacing w:lineRule="auto" w:line="480"/>
        <w:ind w:start="709" w:end="0"/>
        <w:rPr/>
      </w:pPr>
      <w:r>
        <w:rPr/>
        <w:t>If any employee has any question as to this Restricted List Procedure he/she should consult the Compliance Officer or a Designated Person.</w:t>
      </w:r>
    </w:p>
    <w:p>
      <w:pPr>
        <w:pStyle w:val="Normal"/>
        <w:spacing w:lineRule="auto" w:line="480" w:before="0" w:after="280"/>
        <w:ind w:start="709" w:end="0"/>
        <w:rPr>
          <w:b/>
        </w:rPr>
      </w:pPr>
      <w:r>
        <w:rPr>
          <w:b/>
        </w:rPr>
        <w:t>November 1999</w:t>
      </w:r>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214686/10820</w:t>
    </w:r>
    <w:r>
      <w:rPr/>
      <w:fldChar w:fldCharType="end"/>
    </w:r>
    <w:r>
      <w:rPr>
        <w:rFonts w:eastAsia="Charter BT"/>
      </w:rPr>
      <w:t xml:space="preserve">  </w:t>
    </w:r>
    <w:r>
      <w:rPr/>
      <w:fldChar w:fldCharType="begin"/>
    </w:r>
    <w:r>
      <w:rPr/>
      <w:instrText xml:space="preserve"> DOCPROPERTY "udp_DocID"</w:instrText>
    </w:r>
    <w:r>
      <w:rPr/>
      <w:fldChar w:fldCharType="separate"/>
    </w:r>
    <w:r>
      <w:rPr/>
      <w:t>CD992840178</w:t>
    </w:r>
    <w:r>
      <w:rPr/>
      <w:fldChar w:fldCharType="end"/>
    </w:r>
    <w:r>
      <w:rPr>
        <w:rFonts w:eastAsia="Charter BT"/>
      </w:rPr>
      <w:t xml:space="preserve"> </w:t>
    </w:r>
    <w:r>
      <w:rPr/>
      <w:fldChar w:fldCharType="begin"/>
    </w:r>
    <w:r>
      <w:rPr/>
      <w:instrText xml:space="preserve"> DOCPROPERTY "udp_Author"</w:instrText>
    </w:r>
    <w:r>
      <w:rPr/>
      <w:fldChar w:fldCharType="separate"/>
    </w:r>
    <w:r>
      <w:rPr/>
      <w:t>SDXW</w:t>
    </w:r>
    <w:r>
      <w:rPr/>
      <w:fldChar w:fldCharType="end"/>
    </w:r>
    <w:r>
      <w:rPr>
        <w:rFonts w:eastAsia="Charter BT"/>
      </w:rPr>
      <w:t xml:space="preserve"> </w:t>
    </w:r>
    <w:r>
      <w:rPr/>
      <w:fldChar w:fldCharType="begin"/>
    </w:r>
    <w:r>
      <w:rPr/>
      <w:instrText xml:space="preserve"> DATE \@"ddMMyy\:HHmm" </w:instrText>
    </w:r>
    <w:r>
      <w:rPr/>
      <w:fldChar w:fldCharType="separate"/>
    </w:r>
    <w:r>
      <w:rPr/>
      <w:t>280925:0911</w:t>
    </w:r>
    <w:r>
      <w:rPr/>
      <w:fldChar w:fldCharType="end"/>
    </w:r>
  </w:p>
  <w:p>
    <w:pPr>
      <w:pStyle w:val="Footer"/>
      <w:spacing w:before="0" w:after="280"/>
      <w:jc w:val="center"/>
      <w:rPr/>
    </w:pPr>
    <w:r>
      <w:rPr/>
      <w:t>November 1999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t>s:legal\psimons\documents\Restricted List Procedure</w:t>
    </w:r>
  </w:p>
  <w:p>
    <w:pPr>
      <w:pStyle w:val="Footer"/>
      <w:spacing w:before="0" w:after="280"/>
      <w:jc w:val="both"/>
      <w:rPr/>
    </w:pPr>
    <w:r>
      <w:rPr/>
      <w:t>November 1999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8"/>
      </w:pPr>
    </w:lvl>
    <w:lvl w:ilvl="2">
      <w:start w:val="1"/>
      <w:pStyle w:val="Heading3"/>
      <w:numFmt w:val="upperLetter"/>
      <w:lvlText w:val="%3"/>
      <w:lvlJc w:val="start"/>
      <w:pPr>
        <w:tabs>
          <w:tab w:val="num" w:pos="1418"/>
        </w:tabs>
        <w:ind w:start="1418" w:hanging="708"/>
      </w:pPr>
      <w:rPr>
        <w:i w:val="false"/>
        <w:b/>
      </w:r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8"/>
      </w:pPr>
    </w:lvl>
    <w:lvl w:ilvl="5">
      <w:start w:val="1"/>
      <w:pStyle w:val="Heading6"/>
      <w:numFmt w:val="decimal"/>
      <w:lvlText w:val="(%6)"/>
      <w:lvlJc w:val="start"/>
      <w:pPr>
        <w:tabs>
          <w:tab w:val="num" w:pos="3544"/>
        </w:tabs>
        <w:ind w:start="3544" w:hanging="708"/>
      </w:pPr>
    </w:lvl>
    <w:lvl w:ilvl="6">
      <w:start w:val="1"/>
      <w:pStyle w:val="Heading7"/>
      <w:numFmt w:val="upperLetter"/>
      <w:lvlText w:val="(%7)"/>
      <w:lvlJc w:val="start"/>
      <w:pPr>
        <w:tabs>
          <w:tab w:val="num" w:pos="4253"/>
        </w:tabs>
        <w:ind w:start="4253" w:hanging="708"/>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2"/>
        </w:tabs>
        <w:ind w:start="5670" w:hanging="708"/>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8"/>
      </w:pPr>
    </w:lvl>
    <w:lvl w:ilvl="2">
      <w:start w:val="1"/>
      <w:numFmt w:val="upperLetter"/>
      <w:lvlText w:val="%3"/>
      <w:lvlJc w:val="start"/>
      <w:pPr>
        <w:tabs>
          <w:tab w:val="num" w:pos="1418"/>
        </w:tabs>
        <w:ind w:start="1418" w:hanging="708"/>
      </w:pPr>
      <w:rPr>
        <w:i w:val="false"/>
        <w:b/>
      </w:r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8"/>
      </w:pPr>
    </w:lvl>
    <w:lvl w:ilvl="5">
      <w:start w:val="1"/>
      <w:numFmt w:val="decimal"/>
      <w:lvlText w:val="(%6)"/>
      <w:lvlJc w:val="start"/>
      <w:pPr>
        <w:tabs>
          <w:tab w:val="num" w:pos="3544"/>
        </w:tabs>
        <w:ind w:start="3544" w:hanging="708"/>
      </w:pPr>
    </w:lvl>
    <w:lvl w:ilvl="6">
      <w:start w:val="1"/>
      <w:numFmt w:val="upperLetter"/>
      <w:lvlText w:val="(%7)"/>
      <w:lvlJc w:val="start"/>
      <w:pPr>
        <w:tabs>
          <w:tab w:val="num" w:pos="4253"/>
        </w:tabs>
        <w:ind w:start="4253" w:hanging="708"/>
      </w:pPr>
    </w:lvl>
    <w:lvl w:ilvl="7">
      <w:start w:val="1"/>
      <w:numFmt w:val="decimal"/>
      <w:lvlText w:val="(%8)"/>
      <w:lvlJc w:val="start"/>
      <w:pPr>
        <w:tabs>
          <w:tab w:val="num" w:pos="4961"/>
        </w:tabs>
        <w:ind w:start="4961" w:hanging="708"/>
      </w:pPr>
    </w:lvl>
    <w:lvl w:ilvl="8">
      <w:start w:val="1"/>
      <w:numFmt w:val="lowerRoman"/>
      <w:lvlText w:val="(%9)"/>
      <w:lvlJc w:val="start"/>
      <w:pPr>
        <w:tabs>
          <w:tab w:val="num" w:pos="5682"/>
        </w:tabs>
        <w:ind w:start="5670" w:hanging="708"/>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2">
    <w:name w:val="WW8Num11z2"/>
    <w:qFormat/>
    <w:rPr>
      <w:b/>
      <w:i w:val="fals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BodyTextIndent2">
    <w:name w:val="Body Text Indent 2"/>
    <w:basedOn w:val="Normal"/>
    <w:qFormat/>
    <w:pPr>
      <w:ind w:hanging="0" w:start="709"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5"/>
      </w:numPr>
      <w:ind w:hanging="283" w:start="283" w:end="0"/>
    </w:pPr>
    <w:rPr/>
  </w:style>
  <w:style w:type="paragraph" w:styleId="ListNumber2">
    <w:name w:val="List Number 2"/>
    <w:basedOn w:val="Normal"/>
    <w:qFormat/>
    <w:pPr>
      <w:numPr>
        <w:ilvl w:val="0"/>
        <w:numId w:val="6"/>
      </w:numPr>
      <w:ind w:hanging="283" w:start="566" w:end="0"/>
    </w:pPr>
    <w:rPr/>
  </w:style>
  <w:style w:type="paragraph" w:styleId="ListNumber3">
    <w:name w:val="List Number 3"/>
    <w:basedOn w:val="Normal"/>
    <w:qFormat/>
    <w:pPr>
      <w:numPr>
        <w:ilvl w:val="0"/>
        <w:numId w:val="7"/>
      </w:numPr>
      <w:ind w:hanging="283" w:start="849" w:end="0"/>
    </w:pPr>
    <w:rPr/>
  </w:style>
  <w:style w:type="paragraph" w:styleId="ListNumber4">
    <w:name w:val="List Number 4"/>
    <w:basedOn w:val="Normal"/>
    <w:qFormat/>
    <w:pPr>
      <w:numPr>
        <w:ilvl w:val="0"/>
        <w:numId w:val="8"/>
      </w:numPr>
      <w:ind w:hanging="283" w:start="1132" w:end="0"/>
    </w:pPr>
    <w:rPr/>
  </w:style>
  <w:style w:type="paragraph" w:styleId="ListNumber5">
    <w:name w:val="List Number 5"/>
    <w:basedOn w:val="Normal"/>
    <w:qFormat/>
    <w:pPr>
      <w:numPr>
        <w:ilvl w:val="0"/>
        <w:numId w:val="9"/>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10"/>
      </w:numPr>
      <w:ind w:hanging="283" w:start="283" w:end="0"/>
    </w:pPr>
    <w:rPr/>
  </w:style>
  <w:style w:type="paragraph" w:styleId="ListBullet21">
    <w:name w:val="List Bullet 21"/>
    <w:basedOn w:val="Normal"/>
    <w:qFormat/>
    <w:pPr>
      <w:numPr>
        <w:ilvl w:val="0"/>
        <w:numId w:val="11"/>
      </w:numPr>
      <w:ind w:hanging="283" w:start="566" w:end="0"/>
    </w:pPr>
    <w:rPr/>
  </w:style>
  <w:style w:type="paragraph" w:styleId="ListBullet31">
    <w:name w:val="List Bullet 31"/>
    <w:basedOn w:val="Normal"/>
    <w:qFormat/>
    <w:pPr>
      <w:numPr>
        <w:ilvl w:val="0"/>
        <w:numId w:val="12"/>
      </w:numPr>
      <w:ind w:hanging="283" w:start="849" w:end="0"/>
    </w:pPr>
    <w:rPr/>
  </w:style>
  <w:style w:type="paragraph" w:styleId="ListBullet41">
    <w:name w:val="List Bullet 41"/>
    <w:basedOn w:val="Normal"/>
    <w:qFormat/>
    <w:pPr>
      <w:numPr>
        <w:ilvl w:val="0"/>
        <w:numId w:val="13"/>
      </w:numPr>
      <w:ind w:hanging="283" w:start="1132" w:end="0"/>
    </w:pPr>
    <w:rPr/>
  </w:style>
  <w:style w:type="paragraph" w:styleId="ListBullet51">
    <w:name w:val="List Bullet 51"/>
    <w:basedOn w:val="Normal"/>
    <w:qFormat/>
    <w:pPr>
      <w:numPr>
        <w:ilvl w:val="0"/>
        <w:numId w:val="14"/>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1999-11-04T12:29:00Z</dcterms:created>
  <dc:creator>QQTF</dc:creator>
  <dc:description/>
  <dc:language>en-CA</dc:language>
  <cp:lastModifiedBy>psimons</cp:lastModifiedBy>
  <cp:lastPrinted>1999-11-04T11:07:00Z</cp:lastPrinted>
  <dcterms:modified xsi:type="dcterms:W3CDTF">1999-11-04T12:35:00Z</dcterms:modified>
  <cp:revision>3</cp:revision>
  <dc:subject/>
  <dc:title>Standard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SDXW</vt:lpwstr>
  </property>
  <property fmtid="{D5CDD505-2E9C-101B-9397-08002B2CF9AE}" pid="3" name="udp_BorderStyle">
    <vt:lpwstr>None</vt:lpwstr>
  </property>
  <property fmtid="{D5CDD505-2E9C-101B-9397-08002B2CF9AE}" pid="4" name="udp_CMNumber">
    <vt:lpwstr>214686/10820</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CD992840178</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2</vt:lpwstr>
  </property>
  <property fmtid="{D5CDD505-2E9C-101B-9397-08002B2CF9AE}" pid="13" name="udp_Matter">
    <vt:lpwstr>RETA</vt:lpwstr>
  </property>
  <property fmtid="{D5CDD505-2E9C-101B-9397-08002B2CF9AE}" pid="14" name="udp_Renumber">
    <vt:bool>0</vt:bool>
  </property>
  <property fmtid="{D5CDD505-2E9C-101B-9397-08002B2CF9AE}" pid="15" name="udp_TemplateVersion">
    <vt:lpwstr>1.01.0001</vt:lpwstr>
  </property>
  <property fmtid="{D5CDD505-2E9C-101B-9397-08002B2CF9AE}" pid="16" name="udp_Typist">
    <vt:lpwstr>QQTF</vt:lpwstr>
  </property>
  <property fmtid="{D5CDD505-2E9C-101B-9397-08002B2CF9AE}" pid="17" name="udp_Version">
    <vt:lpwstr>19</vt:lpwstr>
  </property>
</Properties>
</file>