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  VARGAS, GALVAN, SCHWERTNER</w:t>
      </w:r>
    </w:p>
    <w:p>
      <w:pPr>
        <w:pStyle w:val="Normal"/>
        <w:rPr/>
      </w:pPr>
      <w:r>
        <w:rPr/>
      </w:r>
    </w:p>
    <w:p>
      <w:pPr>
        <w:pStyle w:val="Normal"/>
        <w:rPr/>
      </w:pPr>
      <w:r>
        <w:rPr/>
        <w:t>SHACKLETON, MELLENCAMP, DEL VECCHIO, CLARK, LYONS, MCCULLOUGH, KEOHANE, BUSHMAN, GRACE, SEFTON</w:t>
      </w:r>
    </w:p>
    <w:p>
      <w:pPr>
        <w:pStyle w:val="Normal"/>
        <w:rPr/>
      </w:pPr>
      <w:r>
        <w:rPr/>
      </w:r>
    </w:p>
    <w:p>
      <w:pPr>
        <w:pStyle w:val="Normal"/>
        <w:rPr/>
      </w:pPr>
      <w:r>
        <w:rPr/>
        <w:t>CC:  TAYLOR, MURRAY, ZISMAN</w:t>
      </w:r>
    </w:p>
    <w:p>
      <w:pPr>
        <w:pStyle w:val="Normal"/>
        <w:rPr/>
      </w:pPr>
      <w:r>
        <w:rPr/>
      </w:r>
    </w:p>
    <w:p>
      <w:pPr>
        <w:pStyle w:val="Normal"/>
        <w:rPr/>
      </w:pPr>
      <w:r>
        <w:rPr/>
        <w:t>FROM:  MARY COOK</w:t>
      </w:r>
    </w:p>
    <w:p>
      <w:pPr>
        <w:pStyle w:val="Normal"/>
        <w:rPr/>
      </w:pPr>
      <w:r>
        <w:rPr/>
        <w:t>9/11/00</w:t>
      </w:r>
    </w:p>
    <w:p>
      <w:pPr>
        <w:pStyle w:val="Normal"/>
        <w:rPr/>
      </w:pPr>
      <w:r>
        <w:rPr/>
      </w:r>
    </w:p>
    <w:p>
      <w:pPr>
        <w:pStyle w:val="Normal"/>
        <w:rPr>
          <w:b/>
        </w:rPr>
      </w:pPr>
      <w:r>
        <w:rPr>
          <w:b/>
        </w:rPr>
        <w:t>ATTORNEYS:  PLEASE LOOK FOR YOUR NAME BELOW FOR THE PART(S) PERTINENT TO YOU.</w:t>
      </w:r>
    </w:p>
    <w:p>
      <w:pPr>
        <w:pStyle w:val="Normal"/>
        <w:rPr>
          <w:b/>
        </w:rPr>
      </w:pPr>
      <w:r>
        <w:rPr>
          <w:b/>
        </w:rPr>
      </w:r>
    </w:p>
    <w:p>
      <w:pPr>
        <w:pStyle w:val="Normal"/>
        <w:rPr/>
      </w:pPr>
      <w:r>
        <w:rPr/>
        <w:t>"Private" Swap Questions/Source Data:  Raptor</w:t>
      </w:r>
    </w:p>
    <w:p>
      <w:pPr>
        <w:pStyle w:val="Normal"/>
        <w:rPr/>
      </w:pPr>
      <w:r>
        <w:rPr/>
      </w:r>
    </w:p>
    <w:p>
      <w:pPr>
        <w:pStyle w:val="Normal"/>
        <w:rPr/>
      </w:pPr>
      <w:r>
        <w:rPr>
          <w:b/>
        </w:rPr>
        <w:t>GENERAL</w:t>
      </w:r>
      <w:r>
        <w:rPr/>
        <w:t xml:space="preserve">:  </w:t>
      </w:r>
    </w:p>
    <w:p>
      <w:pPr>
        <w:pStyle w:val="Normal"/>
        <w:rPr/>
      </w:pPr>
      <w:r>
        <w:rPr/>
      </w:r>
    </w:p>
    <w:p>
      <w:pPr>
        <w:pStyle w:val="Normal"/>
        <w:rPr/>
      </w:pPr>
      <w:r>
        <w:rPr/>
        <w:t>1.  Please provide to Cook and Shackleton (in a list format) the valuation for Final Price that will be used for each investment.  For example, convertible preferred will be valued at any termination to determine the Final Price on what basis?  Valuation model re preferred or common, if by then converted?  We will need this information in order to write the swaps.</w:t>
        <w:tab/>
      </w:r>
      <w:r>
        <w:rPr>
          <w:b/>
          <w:color w:val="FF0000"/>
        </w:rPr>
        <w:t>Valuation detail was sent to Cook from Brad Carey</w:t>
      </w:r>
    </w:p>
    <w:p>
      <w:pPr>
        <w:pStyle w:val="Normal"/>
        <w:rPr>
          <w:b/>
          <w:color w:val="FF0000"/>
        </w:rPr>
      </w:pPr>
      <w:r>
        <w:rPr>
          <w:b/>
          <w:color w:val="FF0000"/>
        </w:rPr>
      </w:r>
    </w:p>
    <w:p>
      <w:pPr>
        <w:pStyle w:val="Normal"/>
        <w:rPr/>
      </w:pPr>
      <w:r>
        <w:rPr/>
        <w:t xml:space="preserve">2.  It is our understanding that IGP and Inland are out of Raptor. </w:t>
      </w:r>
      <w:r>
        <w:rPr>
          <w:b/>
          <w:color w:val="FF0000"/>
        </w:rPr>
        <w:t>AGREE</w:t>
      </w:r>
    </w:p>
    <w:p>
      <w:pPr>
        <w:pStyle w:val="Normal"/>
        <w:rPr/>
      </w:pPr>
      <w:r>
        <w:rPr/>
      </w:r>
    </w:p>
    <w:p>
      <w:pPr>
        <w:pStyle w:val="Normal"/>
        <w:rPr/>
      </w:pPr>
      <w:r>
        <w:rPr/>
        <w:t xml:space="preserve">3.  It is our understanding that Vastar is in Raptor.   </w:t>
      </w:r>
      <w:r>
        <w:rPr>
          <w:b/>
          <w:color w:val="FF0000"/>
        </w:rPr>
        <w:t>AGREE</w:t>
      </w:r>
    </w:p>
    <w:p>
      <w:pPr>
        <w:pStyle w:val="Normal"/>
        <w:rPr/>
      </w:pPr>
      <w:r>
        <w:rPr/>
      </w:r>
    </w:p>
    <w:p>
      <w:pPr>
        <w:pStyle w:val="Normal"/>
        <w:rPr/>
      </w:pPr>
      <w:r>
        <w:rPr/>
        <w:t xml:space="preserve">4.  Please verify on all debt that the "net" (if applicable) has been factored into the numbers on the proposal sheets.    </w:t>
      </w:r>
      <w:r>
        <w:rPr>
          <w:b/>
          <w:color w:val="FF0000"/>
        </w:rPr>
        <w:t>All Notional Amounts are “Net” on the proposal sheets.</w:t>
      </w:r>
    </w:p>
    <w:p>
      <w:pPr>
        <w:pStyle w:val="Normal"/>
        <w:rPr/>
      </w:pPr>
      <w:r>
        <w:rPr/>
      </w:r>
    </w:p>
    <w:p>
      <w:pPr>
        <w:pStyle w:val="Normal"/>
        <w:rPr/>
      </w:pPr>
      <w:r>
        <w:rPr/>
        <w:t xml:space="preserve">5.  </w:t>
      </w:r>
      <w:r>
        <w:rPr>
          <w:b/>
        </w:rPr>
        <w:t xml:space="preserve">Attorneys:  </w:t>
      </w:r>
      <w:r>
        <w:rPr/>
        <w:t>In each case of convertible preferred or warrants, please verify for me whether conversion is on a 1:1, or some other ratio.</w:t>
      </w:r>
    </w:p>
    <w:p>
      <w:pPr>
        <w:pStyle w:val="Normal"/>
        <w:rPr/>
      </w:pPr>
      <w:r>
        <w:rPr/>
      </w:r>
    </w:p>
    <w:p>
      <w:pPr>
        <w:pStyle w:val="Normal"/>
        <w:rPr/>
      </w:pPr>
      <w:r>
        <w:rPr/>
        <w:t xml:space="preserve">6.  No information has been provided on Syntroleum or Merlin. </w:t>
        <w:tab/>
      </w:r>
      <w:r>
        <w:rPr>
          <w:b/>
          <w:color w:val="FF0000"/>
        </w:rPr>
        <w:t>Syntroleum will be in Raptor II, and Merlin proposal will be provided by Andrea Reed.</w:t>
      </w:r>
    </w:p>
    <w:p>
      <w:pPr>
        <w:pStyle w:val="Normal"/>
        <w:rPr>
          <w:b/>
          <w:color w:val="FF0000"/>
        </w:rPr>
      </w:pPr>
      <w:r>
        <w:rPr>
          <w:b/>
          <w:color w:val="FF0000"/>
        </w:rPr>
      </w:r>
    </w:p>
    <w:p>
      <w:pPr>
        <w:pStyle w:val="Header"/>
        <w:tabs>
          <w:tab w:val="clear" w:pos="4320"/>
          <w:tab w:val="clear" w:pos="8640"/>
        </w:tabs>
        <w:rPr/>
      </w:pPr>
      <w:r>
        <w:rPr/>
      </w:r>
    </w:p>
    <w:p>
      <w:pPr>
        <w:pStyle w:val="Normal"/>
        <w:rPr/>
      </w:pPr>
      <w:r>
        <w:rPr>
          <w:b/>
        </w:rPr>
        <w:t>SPECIFIC</w:t>
      </w:r>
      <w:r>
        <w:rPr/>
        <w:t>:</w:t>
      </w:r>
    </w:p>
    <w:p>
      <w:pPr>
        <w:pStyle w:val="BodyText"/>
        <w:rPr/>
      </w:pPr>
      <w:r>
        <w:rPr/>
        <w:t>NOTE:  Pricing &amp; valuation detail has been sent by Brad Carey to Cook for all assets in Raptor already.</w:t>
      </w:r>
    </w:p>
    <w:p>
      <w:pPr>
        <w:pStyle w:val="Normal"/>
        <w:rPr/>
      </w:pPr>
      <w:r>
        <w:rPr/>
      </w:r>
    </w:p>
    <w:p>
      <w:pPr>
        <w:pStyle w:val="Normal"/>
        <w:rPr/>
      </w:pPr>
      <w:r>
        <w:rPr/>
        <w:t>We will also need a variety of source data in order to properly reference the items in the swaps.  Please coordinate with the listed attorneys as necessary to provide the required materials as noted below.</w:t>
      </w:r>
    </w:p>
    <w:p>
      <w:pPr>
        <w:pStyle w:val="Normal"/>
        <w:rPr/>
      </w:pPr>
      <w:r>
        <w:rPr/>
      </w:r>
    </w:p>
    <w:p>
      <w:pPr>
        <w:pStyle w:val="Normal"/>
        <w:rPr/>
      </w:pPr>
      <w:r>
        <w:rPr/>
        <w:t xml:space="preserve">1.  Oconto Falls:  Provide to </w:t>
      </w:r>
      <w:r>
        <w:rPr>
          <w:u w:val="single"/>
        </w:rPr>
        <w:t>Cook</w:t>
      </w:r>
      <w:r>
        <w:rPr/>
        <w:t xml:space="preserve"> the underlying documents for the income participation certificate and the LLC membership interests.  (</w:t>
      </w:r>
      <w:r>
        <w:rPr>
          <w:b/>
        </w:rPr>
        <w:t>del Vecchio</w:t>
      </w:r>
      <w:r>
        <w:rPr/>
        <w:t>)</w:t>
        <w:tab/>
      </w:r>
      <w:r>
        <w:rPr>
          <w:b/>
          <w:color w:val="FF0000"/>
        </w:rPr>
        <w:t>See copies of the IP and membership interest certificates in the binder provided to Cook from Merchant Finance.</w:t>
      </w:r>
    </w:p>
    <w:p>
      <w:pPr>
        <w:pStyle w:val="Normal"/>
        <w:rPr>
          <w:b/>
          <w:color w:val="FF0000"/>
        </w:rPr>
      </w:pPr>
      <w:r>
        <w:rPr>
          <w:b/>
          <w:color w:val="FF0000"/>
        </w:rPr>
      </w:r>
    </w:p>
    <w:p>
      <w:pPr>
        <w:pStyle w:val="Normal"/>
        <w:rPr/>
      </w:pPr>
      <w:r>
        <w:rPr/>
        <w:t xml:space="preserve">2.  Catalytica:  Provide to </w:t>
      </w:r>
      <w:r>
        <w:rPr>
          <w:u w:val="single"/>
        </w:rPr>
        <w:t>Shackleton</w:t>
      </w:r>
      <w:r>
        <w:rPr/>
        <w:t xml:space="preserve"> the underlying documents for the preferred shares and other materials necessary for the swap. Is the option to be included?  (</w:t>
      </w:r>
      <w:r>
        <w:rPr>
          <w:b/>
        </w:rPr>
        <w:t>Clark</w:t>
      </w:r>
      <w:r>
        <w:rPr/>
        <w:t xml:space="preserve">) </w:t>
        <w:tab/>
      </w:r>
      <w:r>
        <w:rPr>
          <w:b/>
          <w:color w:val="FF0000"/>
        </w:rPr>
        <w:t>See a copy of a portion of the stock purchase agreement in the binder provided to Cook from Merchant Finance.</w:t>
      </w:r>
    </w:p>
    <w:p>
      <w:pPr>
        <w:pStyle w:val="Normal"/>
        <w:rPr/>
      </w:pPr>
      <w:r>
        <w:rPr/>
      </w:r>
    </w:p>
    <w:p>
      <w:pPr>
        <w:pStyle w:val="Normal"/>
        <w:rPr/>
      </w:pPr>
      <w:r>
        <w:rPr/>
        <w:t xml:space="preserve">3.  Ecogas:  Provide to </w:t>
      </w:r>
      <w:r>
        <w:rPr>
          <w:u w:val="single"/>
        </w:rPr>
        <w:t>Cook</w:t>
      </w:r>
      <w:r>
        <w:rPr/>
        <w:t xml:space="preserve"> the underlying documents evidencing the loan and common stock (certificates).  (</w:t>
      </w:r>
      <w:r>
        <w:rPr>
          <w:b/>
        </w:rPr>
        <w:t>Lyons</w:t>
      </w:r>
      <w:r>
        <w:rPr/>
        <w:t xml:space="preserve">) </w:t>
        <w:tab/>
        <w:tab/>
      </w:r>
      <w:r>
        <w:rPr>
          <w:b/>
          <w:color w:val="FF0000"/>
        </w:rPr>
        <w:t>See copies of the shares outstanding detail and promissory note agreement in the binder provided to Cook from Merchant Finance.</w:t>
      </w:r>
    </w:p>
    <w:p>
      <w:pPr>
        <w:pStyle w:val="Normal"/>
        <w:rPr>
          <w:b/>
          <w:color w:val="FF0000"/>
        </w:rPr>
      </w:pPr>
      <w:r>
        <w:rPr>
          <w:b/>
          <w:color w:val="FF0000"/>
        </w:rPr>
      </w:r>
    </w:p>
    <w:p>
      <w:pPr>
        <w:pStyle w:val="Normal"/>
        <w:rPr/>
      </w:pPr>
      <w:r>
        <w:rPr/>
        <w:t xml:space="preserve">4.  Heartland:  Provide to </w:t>
      </w:r>
      <w:r>
        <w:rPr>
          <w:u w:val="single"/>
        </w:rPr>
        <w:t>Cook</w:t>
      </w:r>
      <w:r>
        <w:rPr/>
        <w:t xml:space="preserve"> the stock certificates for A-1 and A-3 shown on the proposals or the purchase agreements.  Other information provided by McCullough indicated A-1 and A-2.  This probably changed somehow.  Please advise.  As to some of A-1 there is a reference to Condor.  Can this go into Raptor?  I only have source docs on the Warrants, not the stock.  What is the proposal on Senior Debt?  Is this to be included?  If so, we need pricing and source documents. (</w:t>
      </w:r>
      <w:r>
        <w:rPr>
          <w:b/>
        </w:rPr>
        <w:t>McCullough</w:t>
      </w:r>
      <w:r>
        <w:rPr/>
        <w:t>) (</w:t>
      </w:r>
      <w:r>
        <w:rPr>
          <w:b/>
        </w:rPr>
        <w:t>Sefton-re Condor question</w:t>
      </w:r>
      <w:r>
        <w:rPr/>
        <w:t xml:space="preserve">) </w:t>
      </w:r>
      <w:r>
        <w:rPr>
          <w:b/>
          <w:color w:val="FF0000"/>
        </w:rPr>
        <w:t>See copies of the stock and warrant certificates in the binder provided to Cook from Merchant Finance.  The Heartland Senior Debt is included on our Raptor list.</w:t>
      </w:r>
    </w:p>
    <w:p>
      <w:pPr>
        <w:pStyle w:val="Normal"/>
        <w:rPr/>
      </w:pPr>
      <w:r>
        <w:rPr/>
      </w:r>
    </w:p>
    <w:p>
      <w:pPr>
        <w:pStyle w:val="Normal"/>
        <w:rPr/>
      </w:pPr>
      <w:r>
        <w:rPr/>
        <w:t xml:space="preserve">5.  Invasion:  Provide to </w:t>
      </w:r>
      <w:r>
        <w:rPr>
          <w:u w:val="single"/>
        </w:rPr>
        <w:t>Cook</w:t>
      </w:r>
      <w:r>
        <w:rPr/>
        <w:t xml:space="preserve"> the stock certificates or purchase agreement. (</w:t>
      </w:r>
      <w:r>
        <w:rPr>
          <w:b/>
        </w:rPr>
        <w:t>Keohane</w:t>
      </w:r>
      <w:r>
        <w:rPr/>
        <w:t xml:space="preserve">)          </w:t>
      </w:r>
      <w:r>
        <w:rPr>
          <w:b/>
          <w:color w:val="FF0000"/>
        </w:rPr>
        <w:t>See copies of the certificates in the binder provided to Cook from Merchant Finance.</w:t>
      </w:r>
    </w:p>
    <w:p>
      <w:pPr>
        <w:pStyle w:val="Normal"/>
        <w:rPr/>
      </w:pPr>
      <w:r>
        <w:rPr/>
      </w:r>
    </w:p>
    <w:p>
      <w:pPr>
        <w:pStyle w:val="Normal"/>
        <w:rPr/>
      </w:pPr>
      <w:r>
        <w:rPr/>
        <w:t xml:space="preserve">6.  Brigham Debt:  Provide to </w:t>
      </w:r>
      <w:r>
        <w:rPr>
          <w:u w:val="single"/>
        </w:rPr>
        <w:t>Cook</w:t>
      </w:r>
      <w:r>
        <w:rPr/>
        <w:t xml:space="preserve"> the underlying documents on the sub notes.  (</w:t>
      </w:r>
      <w:r>
        <w:rPr>
          <w:b/>
        </w:rPr>
        <w:t>Mellencamp</w:t>
      </w:r>
      <w:r>
        <w:rPr/>
        <w:t xml:space="preserve">)  IT IS OUR UNDERSTANDING FROM ZISMAN AND ASTIN THAT THE DEBT CAN BE PUT INTO RAPTOR WITHOUT A TRIGGER ON THE EXPECTED SELL TRANSACTION. </w:t>
      </w:r>
      <w:r>
        <w:rPr>
          <w:b/>
          <w:color w:val="FF0000"/>
        </w:rPr>
        <w:t>See copies of the DASH in the binder provided to Cook from Merchant Finance.</w:t>
      </w:r>
    </w:p>
    <w:p>
      <w:pPr>
        <w:pStyle w:val="Normal"/>
        <w:rPr/>
      </w:pPr>
      <w:r>
        <w:rPr/>
      </w:r>
    </w:p>
    <w:p>
      <w:pPr>
        <w:pStyle w:val="Normal"/>
        <w:rPr/>
      </w:pPr>
      <w:r>
        <w:rPr/>
        <w:t xml:space="preserve">7.   Hugh Rawls:  Provide to </w:t>
      </w:r>
      <w:r>
        <w:rPr>
          <w:u w:val="single"/>
        </w:rPr>
        <w:t>Cook</w:t>
      </w:r>
      <w:r>
        <w:rPr/>
        <w:t xml:space="preserve"> source documents on revolver and note, and pricing on proposal. (</w:t>
      </w:r>
      <w:r>
        <w:rPr>
          <w:b/>
        </w:rPr>
        <w:t>Bushman</w:t>
      </w:r>
      <w:r>
        <w:rPr/>
        <w:t xml:space="preserve">) </w:t>
      </w:r>
    </w:p>
    <w:p>
      <w:pPr>
        <w:pStyle w:val="Normal"/>
        <w:rPr/>
      </w:pPr>
      <w:r>
        <w:rPr/>
      </w:r>
    </w:p>
    <w:p>
      <w:pPr>
        <w:pStyle w:val="Normal"/>
        <w:rPr/>
      </w:pPr>
      <w:r>
        <w:rPr/>
        <w:t xml:space="preserve">8.  Venoco:  Provide to </w:t>
      </w:r>
      <w:r>
        <w:rPr>
          <w:u w:val="single"/>
        </w:rPr>
        <w:t>Cook</w:t>
      </w:r>
      <w:r>
        <w:rPr/>
        <w:t xml:space="preserve"> source documents for the preferred.  Double check numbers because notional value on ENA asset listing is 87,351,250 rather than about 46,000,000.  Was the 87MM a gross number? (</w:t>
      </w:r>
      <w:r>
        <w:rPr>
          <w:b/>
        </w:rPr>
        <w:t>Schuler</w:t>
      </w:r>
      <w:r>
        <w:rPr/>
        <w:t xml:space="preserve">)      </w:t>
      </w:r>
      <w:r>
        <w:rPr>
          <w:b/>
          <w:color w:val="FF0000"/>
        </w:rPr>
        <w:t xml:space="preserve">Notional value is $81,480,000 (Net).  Also, see the related schedules included in the binder provided to Cook regarding the source documents for the preferred. </w:t>
      </w:r>
    </w:p>
    <w:p>
      <w:pPr>
        <w:pStyle w:val="Normal"/>
        <w:rPr>
          <w:b/>
          <w:color w:val="FF0000"/>
        </w:rPr>
      </w:pPr>
      <w:r>
        <w:rPr>
          <w:b/>
          <w:color w:val="FF0000"/>
        </w:rPr>
      </w:r>
    </w:p>
    <w:p>
      <w:pPr>
        <w:pStyle w:val="Normal"/>
        <w:rPr/>
      </w:pPr>
      <w:r>
        <w:rPr/>
        <w:t xml:space="preserve">9.  Industrial Holdings:  Provide to </w:t>
      </w:r>
      <w:r>
        <w:rPr>
          <w:u w:val="single"/>
        </w:rPr>
        <w:t>Cook</w:t>
      </w:r>
      <w:r>
        <w:rPr/>
        <w:t xml:space="preserve"> source documents for the term loan and pricing on proposal.</w:t>
      </w:r>
    </w:p>
    <w:p>
      <w:pPr>
        <w:pStyle w:val="Normal"/>
        <w:rPr/>
      </w:pPr>
      <w:r>
        <w:rPr/>
        <w:t>(</w:t>
      </w:r>
      <w:r>
        <w:rPr>
          <w:b/>
        </w:rPr>
        <w:t>Bushman</w:t>
      </w:r>
      <w:r>
        <w:rPr/>
        <w:t>)</w:t>
      </w:r>
    </w:p>
    <w:p>
      <w:pPr>
        <w:pStyle w:val="Normal"/>
        <w:rPr/>
      </w:pPr>
      <w:r>
        <w:rPr/>
      </w:r>
    </w:p>
    <w:p>
      <w:pPr>
        <w:pStyle w:val="Normal"/>
        <w:rPr/>
      </w:pPr>
      <w:r>
        <w:rPr/>
        <w:t xml:space="preserve">10.  Juniper:   Provide to </w:t>
      </w:r>
      <w:r>
        <w:rPr>
          <w:u w:val="single"/>
        </w:rPr>
        <w:t>Cook</w:t>
      </w:r>
      <w:r>
        <w:rPr/>
        <w:t xml:space="preserve"> source documents for lp interest, and pricing on proposal.  (</w:t>
      </w:r>
      <w:r>
        <w:rPr>
          <w:b/>
        </w:rPr>
        <w:t>Grace</w:t>
      </w:r>
      <w:r>
        <w:rPr/>
        <w:t>)</w:t>
      </w:r>
    </w:p>
    <w:p>
      <w:pPr>
        <w:pStyle w:val="Normal"/>
        <w:rPr/>
      </w:pPr>
      <w:r>
        <w:rPr/>
      </w:r>
    </w:p>
    <w:p>
      <w:pPr>
        <w:pStyle w:val="Normal"/>
        <w:rPr/>
      </w:pPr>
      <w:r>
        <w:rPr/>
        <w:t xml:space="preserve">11.  Texland:  Provide to </w:t>
      </w:r>
      <w:r>
        <w:rPr>
          <w:u w:val="single"/>
        </w:rPr>
        <w:t>Cook</w:t>
      </w:r>
      <w:r>
        <w:rPr/>
        <w:t xml:space="preserve"> source documents for lp interest, and pricing on proposal.  (</w:t>
      </w:r>
      <w:r>
        <w:rPr>
          <w:b/>
        </w:rPr>
        <w:t>Grace</w:t>
      </w:r>
      <w:r>
        <w:rPr/>
        <w:t>)</w:t>
      </w:r>
    </w:p>
    <w:p>
      <w:pPr>
        <w:pStyle w:val="Normal"/>
        <w:rPr/>
      </w:pPr>
      <w:r>
        <w:rPr/>
      </w:r>
    </w:p>
    <w:p>
      <w:pPr>
        <w:pStyle w:val="Normal"/>
        <w:rPr/>
      </w:pPr>
      <w:r>
        <w:rPr/>
        <w:t xml:space="preserve">12.  Basic (Sierra):  Provide source documents to </w:t>
      </w:r>
      <w:r>
        <w:rPr>
          <w:u w:val="single"/>
        </w:rPr>
        <w:t>Cook</w:t>
      </w:r>
      <w:r>
        <w:rPr/>
        <w:t xml:space="preserve"> on all classes of shares (A B C).  Further, should pricing be broken down per class of shares, or are they all of equal value?  Numbers do not appear to compute to valuation.   (</w:t>
      </w:r>
      <w:r>
        <w:rPr>
          <w:b/>
        </w:rPr>
        <w:t>Grace</w:t>
      </w:r>
      <w:r>
        <w:rPr/>
        <w:t xml:space="preserve">) </w:t>
      </w:r>
      <w:r>
        <w:rPr>
          <w:b/>
          <w:color w:val="FF0000"/>
        </w:rPr>
        <w:t>See copies of the share agreement summary in the binder provided to Cook from Merchant Finance.</w:t>
      </w:r>
    </w:p>
    <w:p>
      <w:pPr>
        <w:pStyle w:val="Normal"/>
        <w:rPr>
          <w:b/>
          <w:color w:val="FF0000"/>
        </w:rPr>
      </w:pPr>
      <w:r>
        <w:rPr>
          <w:b/>
          <w:color w:val="FF0000"/>
        </w:rPr>
      </w:r>
    </w:p>
    <w:p>
      <w:pPr>
        <w:pStyle w:val="Normal"/>
        <w:rPr/>
      </w:pPr>
      <w:r>
        <w:rPr/>
        <w:t xml:space="preserve">13.  WB Oil &amp; Gas:  Provide to </w:t>
      </w:r>
      <w:r>
        <w:rPr>
          <w:u w:val="single"/>
        </w:rPr>
        <w:t>Cook</w:t>
      </w:r>
      <w:r>
        <w:rPr/>
        <w:t xml:space="preserve"> source documents on common stock ownership (certs or agreement).  (</w:t>
      </w:r>
      <w:r>
        <w:rPr>
          <w:b/>
        </w:rPr>
        <w:t>Grace</w:t>
      </w:r>
      <w:r>
        <w:rPr/>
        <w:t xml:space="preserve">) </w:t>
      </w:r>
      <w:r>
        <w:rPr>
          <w:b/>
          <w:color w:val="FF0000"/>
        </w:rPr>
        <w:t>See copies of the stock certificates in the binder provided to Cook from Merchant Finance.</w:t>
      </w:r>
    </w:p>
    <w:p>
      <w:pPr>
        <w:pStyle w:val="Normal"/>
        <w:rPr>
          <w:b/>
          <w:color w:val="FF0000"/>
        </w:rPr>
      </w:pPr>
      <w:r>
        <w:rPr>
          <w:b/>
          <w:color w:val="FF0000"/>
        </w:rPr>
      </w:r>
    </w:p>
    <w:p>
      <w:pPr>
        <w:pStyle w:val="Normal"/>
        <w:rPr/>
      </w:pPr>
      <w:r>
        <w:rPr/>
        <w:t xml:space="preserve">14.  Black Bay:  Provide to </w:t>
      </w:r>
      <w:r>
        <w:rPr>
          <w:u w:val="single"/>
        </w:rPr>
        <w:t>Cook</w:t>
      </w:r>
      <w:r>
        <w:rPr/>
        <w:t xml:space="preserve"> source documents for membership interests.  Provide pricing.  (</w:t>
      </w:r>
      <w:r>
        <w:rPr>
          <w:b/>
        </w:rPr>
        <w:t>Bushman</w:t>
      </w:r>
      <w:r>
        <w:rPr/>
        <w:t>)</w:t>
      </w:r>
    </w:p>
    <w:p>
      <w:pPr>
        <w:pStyle w:val="Normal"/>
        <w:rPr/>
      </w:pPr>
      <w:r>
        <w:rPr/>
      </w:r>
    </w:p>
    <w:p>
      <w:pPr>
        <w:pStyle w:val="Normal"/>
        <w:rPr/>
      </w:pPr>
      <w:r>
        <w:rPr/>
        <w:t xml:space="preserve">15.  City Forest:  Provide to </w:t>
      </w:r>
      <w:r>
        <w:rPr>
          <w:u w:val="single"/>
        </w:rPr>
        <w:t>Cook</w:t>
      </w:r>
      <w:r>
        <w:rPr/>
        <w:t xml:space="preserve"> the underlying documents for the income participation certificate, and also provide pricing.  (</w:t>
      </w:r>
      <w:r>
        <w:rPr>
          <w:b/>
        </w:rPr>
        <w:t>McCullough</w:t>
      </w:r>
      <w:r>
        <w:rPr/>
        <w:t xml:space="preserve">) </w:t>
      </w:r>
      <w:r>
        <w:rPr>
          <w:b/>
          <w:color w:val="FF0000"/>
        </w:rPr>
        <w:t>See copies of the IP certificates in the binder provided to Cook from Merchant Finance.</w:t>
      </w:r>
    </w:p>
    <w:p>
      <w:pPr>
        <w:pStyle w:val="Normal"/>
        <w:rPr>
          <w:b/>
          <w:color w:val="FF0000"/>
        </w:rPr>
      </w:pPr>
      <w:r>
        <w:rPr>
          <w:b/>
          <w:color w:val="FF0000"/>
        </w:rPr>
      </w:r>
    </w:p>
    <w:p>
      <w:pPr>
        <w:pStyle w:val="Normal"/>
        <w:rPr/>
      </w:pPr>
      <w:r>
        <w:rPr/>
        <w:t xml:space="preserve">16.  EGBG:  Provide to </w:t>
      </w:r>
      <w:r>
        <w:rPr>
          <w:u w:val="single"/>
        </w:rPr>
        <w:t>Cook</w:t>
      </w:r>
      <w:r>
        <w:rPr/>
        <w:t xml:space="preserve"> the underlying documents for the member interest, and also provide pricing.  (</w:t>
      </w:r>
      <w:r>
        <w:rPr>
          <w:b/>
        </w:rPr>
        <w:t>Bushman</w:t>
      </w:r>
      <w:r>
        <w:rPr/>
        <w:t>)</w:t>
      </w:r>
    </w:p>
    <w:p>
      <w:pPr>
        <w:pStyle w:val="Normal"/>
        <w:rPr/>
      </w:pPr>
      <w:r>
        <w:rPr/>
      </w:r>
    </w:p>
    <w:p>
      <w:pPr>
        <w:pStyle w:val="Normal"/>
        <w:rPr/>
      </w:pPr>
      <w:r>
        <w:rPr/>
        <w:t xml:space="preserve">17.  K Canyon:  Provide to </w:t>
      </w:r>
      <w:r>
        <w:rPr>
          <w:u w:val="single"/>
        </w:rPr>
        <w:t>Cook</w:t>
      </w:r>
      <w:r>
        <w:rPr/>
        <w:t xml:space="preserve"> the underlying documents for the member interest, and also provide pricing.  (</w:t>
      </w:r>
      <w:r>
        <w:rPr>
          <w:b/>
        </w:rPr>
        <w:t>Bushman</w:t>
      </w:r>
      <w:r>
        <w:rPr/>
        <w:t>)</w:t>
      </w:r>
    </w:p>
    <w:p>
      <w:pPr>
        <w:pStyle w:val="Normal"/>
        <w:rPr/>
      </w:pPr>
      <w:r>
        <w:rPr/>
      </w:r>
    </w:p>
    <w:p>
      <w:pPr>
        <w:pStyle w:val="Normal"/>
        <w:rPr/>
      </w:pPr>
      <w:r>
        <w:rPr/>
        <w:t xml:space="preserve">18.  LSI:  Provide to </w:t>
      </w:r>
      <w:r>
        <w:rPr>
          <w:u w:val="single"/>
        </w:rPr>
        <w:t>Cook</w:t>
      </w:r>
      <w:r>
        <w:rPr/>
        <w:t xml:space="preserve"> the underlying documents for the preferred stock.  There are several classes of warrants, are they all of equal value re pricing?  Jim, we will probably need to visit regarding the ratios on conversion to determine how to write the swap.  (</w:t>
      </w:r>
      <w:r>
        <w:rPr>
          <w:b/>
        </w:rPr>
        <w:t>Grace</w:t>
      </w:r>
      <w:r>
        <w:rPr/>
        <w:t xml:space="preserve">) </w:t>
      </w:r>
      <w:r>
        <w:rPr>
          <w:b/>
          <w:color w:val="FF0000"/>
        </w:rPr>
        <w:t>See copies of the warrants and preferred agreements in the binder provided to Cook from Merchant Finance.</w:t>
      </w:r>
    </w:p>
    <w:p>
      <w:pPr>
        <w:pStyle w:val="Normal"/>
        <w:rPr/>
      </w:pPr>
      <w:r>
        <w:rPr/>
      </w:r>
    </w:p>
    <w:p>
      <w:pPr>
        <w:pStyle w:val="Normal"/>
        <w:rPr/>
      </w:pPr>
      <w:r>
        <w:rPr/>
        <w:t xml:space="preserve">19.  Sacramento Basin/Hess:  Provide to </w:t>
      </w:r>
      <w:r>
        <w:rPr>
          <w:u w:val="single"/>
        </w:rPr>
        <w:t>Cook</w:t>
      </w:r>
      <w:r>
        <w:rPr/>
        <w:t xml:space="preserve"> the underlying documents for this investment.  It is my understanding that this is an lp interest (lp owning some type of working interest).  Would not the lp interest be swapped?  Please provide pricing on lp interest.</w:t>
      </w:r>
    </w:p>
    <w:p>
      <w:pPr>
        <w:pStyle w:val="Normal"/>
        <w:rPr/>
      </w:pPr>
      <w:r>
        <w:rPr/>
        <w:t>(</w:t>
      </w:r>
      <w:r>
        <w:rPr>
          <w:b/>
        </w:rPr>
        <w:t>Bushman</w:t>
      </w:r>
      <w:r>
        <w:rPr/>
        <w:t xml:space="preserve">)  </w:t>
      </w:r>
    </w:p>
    <w:p>
      <w:pPr>
        <w:pStyle w:val="Normal"/>
        <w:rPr/>
      </w:pPr>
      <w:r>
        <w:rPr/>
      </w:r>
    </w:p>
    <w:p>
      <w:pPr>
        <w:pStyle w:val="Normal"/>
        <w:rPr/>
      </w:pPr>
      <w:r>
        <w:rPr/>
        <w:t xml:space="preserve">20.  Vastar:  Provide to </w:t>
      </w:r>
      <w:r>
        <w:rPr>
          <w:u w:val="single"/>
        </w:rPr>
        <w:t>Cook</w:t>
      </w:r>
      <w:r>
        <w:rPr/>
        <w:t xml:space="preserve"> the underlying documents for this investment.  It is my understanding that this is an lp interest (lp owning some type of working interest).  Would not the lp interest be swapped?  Please provide pricing on lp interest.</w:t>
      </w:r>
    </w:p>
    <w:p>
      <w:pPr>
        <w:pStyle w:val="Normal"/>
        <w:rPr/>
      </w:pPr>
      <w:r>
        <w:rPr/>
        <w:t>(</w:t>
      </w:r>
      <w:r>
        <w:rPr>
          <w:b/>
        </w:rPr>
        <w:t>Bushman</w:t>
      </w:r>
      <w:r>
        <w:rPr/>
        <w:t xml:space="preserve">)  </w:t>
      </w:r>
    </w:p>
    <w:p>
      <w:pPr>
        <w:pStyle w:val="Normal"/>
        <w:rPr/>
      </w:pPr>
      <w:r>
        <w:rPr/>
      </w:r>
    </w:p>
    <w:p>
      <w:pPr>
        <w:pStyle w:val="Normal"/>
        <w:rPr/>
      </w:pPr>
      <w:r>
        <w:rPr/>
        <w:t xml:space="preserve">21.  Ameritex:  Provide to </w:t>
      </w:r>
      <w:r>
        <w:rPr>
          <w:u w:val="single"/>
        </w:rPr>
        <w:t>Cook</w:t>
      </w:r>
      <w:r>
        <w:rPr/>
        <w:t xml:space="preserve"> the underlying documents for this investment.  It is my understanding that this is an lp interest.  Please provide pricing on lp interest.</w:t>
      </w:r>
    </w:p>
    <w:p>
      <w:pPr>
        <w:pStyle w:val="Normal"/>
        <w:rPr/>
      </w:pPr>
      <w:r>
        <w:rPr/>
        <w:t>(</w:t>
      </w:r>
      <w:r>
        <w:rPr>
          <w:b/>
        </w:rPr>
        <w:t>Bushman</w:t>
      </w:r>
      <w:r>
        <w:rPr/>
        <w:t xml:space="preserve">)  </w:t>
      </w:r>
    </w:p>
    <w:p>
      <w:pPr>
        <w:pStyle w:val="Normal"/>
        <w:rPr/>
      </w:pPr>
      <w:r>
        <w:rPr/>
      </w:r>
    </w:p>
    <w:p>
      <w:pPr>
        <w:pStyle w:val="Normal"/>
        <w:rPr/>
      </w:pPr>
      <w:r>
        <w:rPr/>
        <w:t xml:space="preserve">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/mnt/main-storage/datasets/enron-docs/doc/Responses_to_Mary_Cook.doc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2000-09-11T16:31:00Z</dcterms:created>
  <dc:creator>mcook</dc:creator>
  <dc:description/>
  <dc:language>en-CA</dc:language>
  <cp:lastModifiedBy>brian schwertner</cp:lastModifiedBy>
  <cp:lastPrinted>2000-09-11T12:38:00Z</cp:lastPrinted>
  <dcterms:modified xsi:type="dcterms:W3CDTF">2000-09-11T22:02:00Z</dcterms:modified>
  <cp:revision>6</cp:revision>
  <dc:subject/>
  <dc:title>TO:  VARGAS, GALVAN, SCHWERTNER</dc:title>
</cp:coreProperties>
</file>