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3"/>
        <w:ind w:hanging="0" w:start="0"/>
        <w:jc w:val="center"/>
        <w:rPr/>
      </w:pPr>
      <w:r>
        <w:rPr/>
        <w:t xml:space="preserve">FLORIDA GAS TRANSMISSION </w:t>
      </w:r>
    </w:p>
    <w:p>
      <w:pPr>
        <w:pStyle w:val="Heading3"/>
        <w:ind w:hanging="0" w:start="0"/>
        <w:jc w:val="center"/>
        <w:rPr/>
      </w:pPr>
      <w:r>
        <w:rPr/>
        <w:t>COMPRESSOR STATION 13 – PHASE V EXPANSION</w:t>
      </w:r>
    </w:p>
    <w:p>
      <w:pPr>
        <w:pStyle w:val="Normal"/>
        <w:jc w:val="center"/>
        <w:rPr/>
      </w:pPr>
      <w:r>
        <w:rPr/>
      </w:r>
    </w:p>
    <w:p>
      <w:pPr>
        <w:pStyle w:val="BodyText"/>
        <w:jc w:val="center"/>
        <w:rPr/>
      </w:pPr>
      <w:r>
        <w:rPr/>
      </w:r>
    </w:p>
    <w:p>
      <w:pPr>
        <w:pStyle w:val="BodyText"/>
        <w:jc w:val="center"/>
        <w:rPr>
          <w:i/>
          <w:i/>
          <w:iCs/>
        </w:rPr>
      </w:pPr>
      <w:r>
        <w:rPr>
          <w:i/>
          <w:iCs/>
        </w:rPr>
        <w:t>Technical Issue Summary and Comments</w:t>
      </w:r>
    </w:p>
    <w:p>
      <w:pPr>
        <w:pStyle w:val="BodyText"/>
        <w:jc w:val="center"/>
        <w:rPr>
          <w:i/>
          <w:i/>
          <w:iCs/>
        </w:rPr>
      </w:pPr>
      <w:r>
        <w:rPr>
          <w:i/>
          <w:iCs/>
        </w:rPr>
      </w:r>
    </w:p>
    <w:p>
      <w:pPr>
        <w:pStyle w:val="BodyText"/>
        <w:jc w:val="center"/>
        <w:rPr/>
      </w:pPr>
      <w:r>
        <w:rPr/>
      </w:r>
    </w:p>
    <w:p>
      <w:pPr>
        <w:pStyle w:val="BodyText"/>
        <w:jc w:val="center"/>
        <w:rPr/>
      </w:pPr>
      <w:r>
        <w:rPr/>
      </w:r>
    </w:p>
    <w:p>
      <w:pPr>
        <w:pStyle w:val="BodyText"/>
        <w:jc w:val="center"/>
        <w:rPr/>
      </w:pPr>
      <w:r>
        <w:rPr/>
      </w:r>
    </w:p>
    <w:p>
      <w:pPr>
        <w:pStyle w:val="BodyText"/>
        <w:jc w:val="center"/>
        <w:rPr/>
      </w:pPr>
      <w:r>
        <w:rPr/>
      </w:r>
    </w:p>
    <w:p>
      <w:pPr>
        <w:pStyle w:val="BodyText"/>
        <w:jc w:val="center"/>
        <w:rPr/>
      </w:pPr>
      <w:r>
        <w:rPr/>
      </w:r>
    </w:p>
    <w:p>
      <w:pPr>
        <w:pStyle w:val="BodyText"/>
        <w:jc w:val="center"/>
        <w:rPr/>
      </w:pPr>
      <w:r>
        <w:rPr/>
      </w:r>
    </w:p>
    <w:p>
      <w:pPr>
        <w:pStyle w:val="BodyText"/>
        <w:jc w:val="center"/>
        <w:rPr/>
      </w:pPr>
      <w:r>
        <w:rPr/>
        <w:t>Enron Compression Services</w:t>
      </w:r>
    </w:p>
    <w:p>
      <w:pPr>
        <w:pStyle w:val="BodyText"/>
        <w:jc w:val="center"/>
        <w:rPr/>
      </w:pPr>
      <w:r>
        <w:rPr/>
      </w:r>
    </w:p>
    <w:p>
      <w:pPr>
        <w:pStyle w:val="BodyText"/>
        <w:jc w:val="center"/>
        <w:rPr/>
      </w:pPr>
      <w:r>
        <w:rPr/>
        <w:t>6 November 2001</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2"/>
        <w:ind w:hanging="0" w:start="0"/>
        <w:rPr/>
      </w:pPr>
      <w:r>
        <w:rPr/>
      </w:r>
    </w:p>
    <w:p>
      <w:pPr>
        <w:pStyle w:val="Heading2"/>
        <w:ind w:hanging="0" w:start="0"/>
        <w:rPr/>
      </w:pPr>
      <w:r>
        <w:rPr/>
        <w:t xml:space="preserve">General Comments </w:t>
      </w:r>
    </w:p>
    <w:p>
      <w:pPr>
        <w:pStyle w:val="Normal"/>
        <w:autoSpaceDE w:val="false"/>
        <w:rPr>
          <w:rFonts w:ascii="Arial" w:hAnsi="Arial" w:cs="Arial"/>
          <w:sz w:val="22"/>
          <w:szCs w:val="20"/>
        </w:rPr>
      </w:pPr>
      <w:r>
        <w:rPr>
          <w:rFonts w:cs="Arial" w:ascii="Arial" w:hAnsi="Arial"/>
          <w:sz w:val="22"/>
          <w:szCs w:val="20"/>
        </w:rPr>
      </w:r>
    </w:p>
    <w:p>
      <w:pPr>
        <w:pStyle w:val="Normal"/>
        <w:autoSpaceDE w:val="false"/>
        <w:rPr>
          <w:rFonts w:ascii="Arial" w:hAnsi="Arial" w:cs="Arial"/>
          <w:sz w:val="22"/>
          <w:szCs w:val="20"/>
        </w:rPr>
      </w:pPr>
      <w:r>
        <w:rPr>
          <w:rFonts w:cs="Arial" w:ascii="Arial" w:hAnsi="Arial"/>
          <w:sz w:val="22"/>
          <w:szCs w:val="20"/>
        </w:rPr>
        <w:t>It is important to realize that design concerns expressed by Enron Compression Services (ECS) are related to design of Compressor Station 13 currently being designed and constructed by Florida Gas Transmission (FGT).  Design of the Gulf Power substation(s) meet all design and construction code requirements as well as generally accepted industry standards.  As such, ECS is not suggesting any changes in substation design.  In order to consider overall reliability of the system being provided to FGT, it is necessary to view electrical substation and compressor station design as a single system.  From this perspective, the circuit breakers included as part of the standard substation provided by GP are being used in a non-standard fashion (as motor starters / controllers) by the FGT compressor station.  This is the first concern ECS brought to the attention of the compressor station engineering, procurement, construction (EPC) contractor, Enron Engineering and Construction Company (EECC).  A second concern having to do with the “backup” transformer was also mentioned to EECC.  The latter concern has to do with reliability and maintenance of a “cold” standby transformer.  Following is a summary of the comments between ECS and EECC.  Items (1) and (2) address the motor starter / circuit breaker issue.  Item (3) discusses the standby transformer matter.</w:t>
      </w:r>
    </w:p>
    <w:p>
      <w:pPr>
        <w:pStyle w:val="Normal"/>
        <w:autoSpaceDE w:val="false"/>
        <w:rPr>
          <w:rFonts w:ascii="Arial" w:hAnsi="Arial" w:cs="Arial"/>
          <w:sz w:val="22"/>
          <w:szCs w:val="20"/>
        </w:rPr>
      </w:pPr>
      <w:r>
        <w:rPr>
          <w:rFonts w:cs="Arial" w:ascii="Arial" w:hAnsi="Arial"/>
          <w:sz w:val="22"/>
          <w:szCs w:val="20"/>
        </w:rPr>
      </w:r>
    </w:p>
    <w:p>
      <w:pPr>
        <w:pStyle w:val="Normal"/>
        <w:autoSpaceDE w:val="false"/>
        <w:rPr>
          <w:rFonts w:ascii="Arial" w:hAnsi="Arial" w:cs="Arial"/>
          <w:sz w:val="22"/>
          <w:szCs w:val="20"/>
        </w:rPr>
      </w:pPr>
      <w:r>
        <w:rPr>
          <w:rFonts w:cs="Arial" w:ascii="Arial" w:hAnsi="Arial"/>
          <w:sz w:val="22"/>
          <w:szCs w:val="20"/>
        </w:rPr>
        <w:t>In summary, there are two general components to the overall electrical system at any electric drive compressor station.  First is power supply in the form of an electrical substation.  Second is power distribution and control equipment within the compressor station.  In the current EECC/FGT design, the former component (substation) is being used in dual service to perform its typical function AND to replace control equipment that would normally be installed in the compressor station.</w:t>
      </w:r>
    </w:p>
    <w:p>
      <w:pPr>
        <w:pStyle w:val="Heading1"/>
        <w:ind w:hanging="0" w:start="0"/>
        <w:rPr>
          <w:rFonts w:ascii="Arial" w:hAnsi="Arial" w:cs="Arial"/>
          <w:sz w:val="22"/>
          <w:szCs w:val="20"/>
        </w:rPr>
      </w:pPr>
      <w:r>
        <w:rPr>
          <w:rFonts w:cs="Arial"/>
          <w:sz w:val="22"/>
          <w:szCs w:val="20"/>
        </w:rPr>
      </w:r>
    </w:p>
    <w:p>
      <w:pPr>
        <w:pStyle w:val="Heading1"/>
        <w:ind w:hanging="0" w:start="0"/>
        <w:rPr>
          <w:u w:val="single"/>
        </w:rPr>
      </w:pPr>
      <w:r>
        <w:rPr>
          <w:u w:val="single"/>
        </w:rPr>
        <w:t>ITEM 1 – Circuit Breakers and Contactors as Motor Control Devices</w:t>
      </w:r>
    </w:p>
    <w:p>
      <w:pPr>
        <w:pStyle w:val="Normal"/>
        <w:autoSpaceDE w:val="false"/>
        <w:rPr>
          <w:rFonts w:ascii="Arial" w:hAnsi="Arial" w:cs="Arial"/>
          <w:sz w:val="22"/>
          <w:szCs w:val="20"/>
          <w:u w:val="single"/>
        </w:rPr>
      </w:pPr>
      <w:r>
        <w:rPr>
          <w:rFonts w:cs="Arial" w:ascii="Arial" w:hAnsi="Arial"/>
          <w:sz w:val="22"/>
          <w:szCs w:val="20"/>
          <w:u w:val="single"/>
        </w:rPr>
      </w:r>
    </w:p>
    <w:p>
      <w:pPr>
        <w:pStyle w:val="Normal"/>
        <w:autoSpaceDE w:val="false"/>
        <w:spacing w:lineRule="atLeast" w:line="240"/>
        <w:ind w:hanging="720" w:start="720" w:end="0"/>
        <w:rPr/>
      </w:pPr>
      <w:r>
        <w:rPr>
          <w:rFonts w:cs="Arial" w:ascii="Arial" w:hAnsi="Arial"/>
          <w:b/>
          <w:bCs/>
          <w:i/>
          <w:iCs/>
          <w:sz w:val="22"/>
          <w:szCs w:val="20"/>
        </w:rPr>
        <w:t>EECC</w:t>
      </w:r>
      <w:r>
        <w:rPr>
          <w:rFonts w:cs="Arial" w:ascii="Arial" w:hAnsi="Arial"/>
          <w:sz w:val="22"/>
          <w:szCs w:val="20"/>
        </w:rPr>
        <w:t>:</w:t>
        <w:tab/>
      </w:r>
      <w:r>
        <w:rPr>
          <w:rFonts w:cs="Arial" w:ascii="Arial" w:hAnsi="Arial"/>
          <w:color w:val="000000"/>
          <w:sz w:val="22"/>
          <w:szCs w:val="20"/>
        </w:rPr>
        <w:t>Contactors cannot be used to control motor starting because contactors are not made in 15 kV ratings.</w:t>
      </w:r>
    </w:p>
    <w:p>
      <w:pPr>
        <w:pStyle w:val="Normal"/>
        <w:autoSpaceDE w:val="false"/>
        <w:ind w:firstLine="720" w:end="0"/>
        <w:rPr>
          <w:rFonts w:ascii="Arial" w:hAnsi="Arial" w:cs="Arial"/>
          <w:color w:val="000000"/>
          <w:sz w:val="22"/>
          <w:szCs w:val="20"/>
        </w:rPr>
      </w:pPr>
      <w:r>
        <w:rPr>
          <w:rFonts w:cs="Arial" w:ascii="Arial" w:hAnsi="Arial"/>
          <w:color w:val="000000"/>
          <w:sz w:val="22"/>
          <w:szCs w:val="20"/>
        </w:rPr>
      </w:r>
    </w:p>
    <w:p>
      <w:pPr>
        <w:pStyle w:val="Normal"/>
        <w:autoSpaceDE w:val="false"/>
        <w:ind w:hanging="720" w:start="720" w:end="0"/>
        <w:rPr>
          <w:rFonts w:ascii="Arial" w:hAnsi="Arial" w:cs="Arial"/>
          <w:color w:val="000000"/>
          <w:sz w:val="22"/>
          <w:szCs w:val="20"/>
        </w:rPr>
      </w:pPr>
      <w:r>
        <w:rPr>
          <w:rFonts w:cs="Arial" w:ascii="Arial" w:hAnsi="Arial"/>
          <w:b/>
          <w:bCs/>
          <w:i/>
          <w:iCs/>
          <w:color w:val="000000"/>
          <w:sz w:val="22"/>
          <w:szCs w:val="20"/>
        </w:rPr>
        <w:t>ECS:</w:t>
      </w:r>
      <w:r>
        <w:rPr>
          <w:rFonts w:cs="Arial" w:ascii="Arial" w:hAnsi="Arial"/>
          <w:color w:val="000000"/>
          <w:sz w:val="22"/>
          <w:szCs w:val="20"/>
        </w:rPr>
        <w:tab/>
        <w:t>ECS agrees that 15 kV contactors are uncommon.  The essential issue, however, is the use of substation circuit breakers as across-the-line motor starters / controllers for 15,000 HP compressors.  C</w:t>
      </w:r>
      <w:r>
        <w:rPr>
          <w:rFonts w:cs="Arial" w:ascii="Arial" w:hAnsi="Arial"/>
          <w:sz w:val="22"/>
          <w:szCs w:val="20"/>
        </w:rPr>
        <w:t>ircuit breakers, when used as contactors, will experience higher failure rates, particularly in this service. More frequent maintenance is also to be expected.  While 15 kV contactors are not standard, neither is the motor starter design of this compressor station, thus the concerns.  15 kV contactors are available from Toshiba, and probably other manufacturers upon request.</w:t>
      </w:r>
    </w:p>
    <w:p>
      <w:pPr>
        <w:pStyle w:val="Normal"/>
        <w:autoSpaceDE w:val="false"/>
        <w:ind w:firstLine="720" w:end="0"/>
        <w:rPr>
          <w:rFonts w:ascii="Arial" w:hAnsi="Arial" w:cs="Arial"/>
          <w:color w:val="000000"/>
          <w:sz w:val="22"/>
          <w:szCs w:val="20"/>
        </w:rPr>
      </w:pPr>
      <w:r>
        <w:rPr>
          <w:rFonts w:cs="Arial" w:ascii="Arial" w:hAnsi="Arial"/>
          <w:color w:val="000000"/>
          <w:sz w:val="22"/>
          <w:szCs w:val="20"/>
        </w:rPr>
      </w:r>
    </w:p>
    <w:p>
      <w:pPr>
        <w:pStyle w:val="Normal"/>
        <w:autoSpaceDE w:val="false"/>
        <w:rPr>
          <w:rFonts w:ascii="Arial" w:hAnsi="Arial" w:cs="Arial"/>
          <w:sz w:val="22"/>
          <w:szCs w:val="20"/>
        </w:rPr>
      </w:pPr>
      <w:r>
        <w:rPr>
          <w:rFonts w:cs="Arial" w:ascii="Arial" w:hAnsi="Arial"/>
          <w:sz w:val="22"/>
          <w:szCs w:val="20"/>
        </w:rPr>
      </w:r>
    </w:p>
    <w:p>
      <w:pPr>
        <w:pStyle w:val="Normal"/>
        <w:autoSpaceDE w:val="false"/>
        <w:rPr>
          <w:rFonts w:ascii="Arial" w:hAnsi="Arial" w:cs="Arial"/>
          <w:sz w:val="22"/>
          <w:szCs w:val="20"/>
        </w:rPr>
      </w:pPr>
      <w:r>
        <w:rPr>
          <w:rFonts w:cs="Arial" w:ascii="Arial" w:hAnsi="Arial"/>
          <w:sz w:val="22"/>
          <w:szCs w:val="20"/>
        </w:rPr>
      </w:r>
    </w:p>
    <w:p>
      <w:pPr>
        <w:pStyle w:val="Normal"/>
        <w:autoSpaceDE w:val="false"/>
        <w:rPr>
          <w:rFonts w:ascii="Arial" w:hAnsi="Arial" w:cs="Arial"/>
          <w:sz w:val="22"/>
          <w:szCs w:val="20"/>
        </w:rPr>
      </w:pPr>
      <w:r>
        <w:rPr>
          <w:rFonts w:cs="Arial" w:ascii="Arial" w:hAnsi="Arial"/>
          <w:sz w:val="22"/>
          <w:szCs w:val="20"/>
        </w:rPr>
      </w:r>
    </w:p>
    <w:p>
      <w:pPr>
        <w:pStyle w:val="Normal"/>
        <w:autoSpaceDE w:val="false"/>
        <w:rPr>
          <w:rFonts w:ascii="Arial" w:hAnsi="Arial" w:cs="Arial"/>
          <w:sz w:val="22"/>
          <w:szCs w:val="20"/>
        </w:rPr>
      </w:pPr>
      <w:r>
        <w:rPr>
          <w:rFonts w:cs="Arial" w:ascii="Arial" w:hAnsi="Arial"/>
          <w:sz w:val="22"/>
          <w:szCs w:val="20"/>
        </w:rPr>
      </w:r>
    </w:p>
    <w:p>
      <w:pPr>
        <w:pStyle w:val="Normal"/>
        <w:autoSpaceDE w:val="false"/>
        <w:rPr>
          <w:rFonts w:ascii="Arial" w:hAnsi="Arial" w:cs="Arial"/>
          <w:sz w:val="22"/>
          <w:szCs w:val="20"/>
        </w:rPr>
      </w:pPr>
      <w:r>
        <w:rPr>
          <w:rFonts w:cs="Arial" w:ascii="Arial" w:hAnsi="Arial"/>
          <w:sz w:val="22"/>
          <w:szCs w:val="20"/>
        </w:rPr>
      </w:r>
    </w:p>
    <w:p>
      <w:pPr>
        <w:pStyle w:val="Normal"/>
        <w:autoSpaceDE w:val="false"/>
        <w:rPr>
          <w:rFonts w:ascii="Arial" w:hAnsi="Arial" w:cs="Arial"/>
          <w:sz w:val="22"/>
          <w:szCs w:val="20"/>
        </w:rPr>
      </w:pPr>
      <w:r>
        <w:rPr>
          <w:rFonts w:cs="Arial" w:ascii="Arial" w:hAnsi="Arial"/>
          <w:sz w:val="22"/>
          <w:szCs w:val="20"/>
        </w:rPr>
      </w:r>
    </w:p>
    <w:p>
      <w:pPr>
        <w:pStyle w:val="Normal"/>
        <w:autoSpaceDE w:val="false"/>
        <w:rPr>
          <w:rFonts w:ascii="Arial" w:hAnsi="Arial" w:cs="Arial"/>
          <w:sz w:val="22"/>
          <w:szCs w:val="20"/>
        </w:rPr>
      </w:pPr>
      <w:r>
        <w:rPr>
          <w:rFonts w:cs="Arial" w:ascii="Arial" w:hAnsi="Arial"/>
          <w:sz w:val="22"/>
          <w:szCs w:val="20"/>
        </w:rPr>
      </w:r>
    </w:p>
    <w:p>
      <w:pPr>
        <w:pStyle w:val="Normal"/>
        <w:autoSpaceDE w:val="false"/>
        <w:rPr>
          <w:rFonts w:ascii="Arial" w:hAnsi="Arial" w:cs="Arial"/>
          <w:sz w:val="22"/>
          <w:szCs w:val="20"/>
        </w:rPr>
      </w:pPr>
      <w:r>
        <w:rPr>
          <w:rFonts w:cs="Arial" w:ascii="Arial" w:hAnsi="Arial"/>
          <w:sz w:val="22"/>
          <w:szCs w:val="20"/>
        </w:rPr>
      </w:r>
    </w:p>
    <w:p>
      <w:pPr>
        <w:pStyle w:val="Heading2"/>
        <w:ind w:hanging="0" w:start="0"/>
        <w:rPr/>
      </w:pPr>
      <w:r>
        <w:rPr/>
        <w:t>ITEM 2 – Substation Design vs. Compressor Station Design</w:t>
      </w:r>
    </w:p>
    <w:p>
      <w:pPr>
        <w:pStyle w:val="Normal"/>
        <w:autoSpaceDE w:val="false"/>
        <w:rPr>
          <w:rFonts w:ascii="Arial" w:hAnsi="Arial" w:cs="Arial"/>
          <w:sz w:val="22"/>
          <w:szCs w:val="20"/>
        </w:rPr>
      </w:pPr>
      <w:r>
        <w:rPr>
          <w:rFonts w:cs="Arial" w:ascii="Arial" w:hAnsi="Arial"/>
          <w:sz w:val="22"/>
          <w:szCs w:val="20"/>
        </w:rPr>
      </w:r>
    </w:p>
    <w:p>
      <w:pPr>
        <w:pStyle w:val="Normal"/>
        <w:autoSpaceDE w:val="false"/>
        <w:spacing w:lineRule="atLeast" w:line="240"/>
        <w:ind w:hanging="720" w:start="720" w:end="0"/>
        <w:rPr/>
      </w:pPr>
      <w:r>
        <w:rPr>
          <w:b/>
          <w:bCs/>
          <w:i/>
          <w:iCs/>
        </w:rPr>
        <w:t>EECC</w:t>
      </w:r>
      <w:r>
        <w:rPr/>
        <w:t>:</w:t>
        <w:tab/>
      </w:r>
      <w:r>
        <w:rPr>
          <w:rFonts w:cs="Arial" w:ascii="Arial" w:hAnsi="Arial"/>
          <w:color w:val="000000"/>
          <w:sz w:val="22"/>
        </w:rPr>
        <w:t xml:space="preserve">Breakers installed downstream of the substation would have no greater reliability than the breakers in the substation. Current </w:t>
      </w:r>
      <w:r>
        <w:rPr>
          <w:rFonts w:cs="Arial" w:ascii="Arial" w:hAnsi="Arial"/>
          <w:sz w:val="22"/>
        </w:rPr>
        <w:t>substation design allows for the transfer bus to make use of a spare breaker.  Breakers installed downstream would not have this feature.</w:t>
      </w:r>
    </w:p>
    <w:p>
      <w:pPr>
        <w:pStyle w:val="Normal"/>
        <w:autoSpaceDE w:val="false"/>
        <w:spacing w:lineRule="atLeast" w:line="240"/>
        <w:rPr>
          <w:rFonts w:ascii="Arial" w:hAnsi="Arial" w:cs="Arial"/>
          <w:color w:val="000000"/>
          <w:sz w:val="22"/>
          <w:szCs w:val="20"/>
        </w:rPr>
      </w:pPr>
      <w:r>
        <w:rPr>
          <w:rFonts w:cs="Arial" w:ascii="Arial" w:hAnsi="Arial"/>
          <w:color w:val="000000"/>
          <w:sz w:val="22"/>
          <w:szCs w:val="20"/>
        </w:rPr>
      </w:r>
    </w:p>
    <w:p>
      <w:pPr>
        <w:pStyle w:val="Normal"/>
        <w:autoSpaceDE w:val="false"/>
        <w:ind w:firstLine="720" w:end="0"/>
        <w:rPr>
          <w:rFonts w:ascii="Arial" w:hAnsi="Arial" w:cs="Arial"/>
          <w:color w:val="000000"/>
          <w:sz w:val="22"/>
          <w:szCs w:val="20"/>
        </w:rPr>
      </w:pPr>
      <w:r>
        <w:rPr>
          <w:rFonts w:cs="Arial" w:ascii="Arial" w:hAnsi="Arial"/>
          <w:color w:val="000000"/>
          <w:sz w:val="22"/>
          <w:szCs w:val="20"/>
        </w:rPr>
      </w:r>
    </w:p>
    <w:p>
      <w:pPr>
        <w:pStyle w:val="Normal"/>
        <w:autoSpaceDE w:val="false"/>
        <w:ind w:hanging="720" w:start="720" w:end="0"/>
        <w:rPr/>
      </w:pPr>
      <w:r>
        <w:rPr>
          <w:rFonts w:cs="Arial" w:ascii="Arial" w:hAnsi="Arial"/>
          <w:b/>
          <w:bCs/>
          <w:i/>
          <w:iCs/>
          <w:color w:val="000000"/>
          <w:sz w:val="22"/>
          <w:szCs w:val="20"/>
        </w:rPr>
        <w:t>ECS:</w:t>
      </w:r>
      <w:r>
        <w:rPr>
          <w:rFonts w:cs="Arial" w:ascii="Arial" w:hAnsi="Arial"/>
          <w:color w:val="000000"/>
          <w:sz w:val="22"/>
          <w:szCs w:val="20"/>
        </w:rPr>
        <w:tab/>
        <w:t xml:space="preserve">As previously mentioned, it is the overall system (electrical substation </w:t>
      </w:r>
      <w:r>
        <w:rPr>
          <w:rFonts w:cs="Arial" w:ascii="Arial" w:hAnsi="Arial"/>
          <w:color w:val="000000"/>
          <w:sz w:val="22"/>
          <w:szCs w:val="20"/>
          <w:u w:val="single"/>
        </w:rPr>
        <w:t>and</w:t>
      </w:r>
      <w:r>
        <w:rPr>
          <w:rFonts w:cs="Arial" w:ascii="Arial" w:hAnsi="Arial"/>
          <w:color w:val="000000"/>
          <w:sz w:val="22"/>
          <w:szCs w:val="20"/>
        </w:rPr>
        <w:t xml:space="preserve"> compressor station) that must be considered.  </w:t>
      </w:r>
      <w:r>
        <w:rPr>
          <w:rFonts w:cs="Arial" w:ascii="Arial" w:hAnsi="Arial"/>
          <w:sz w:val="22"/>
          <w:szCs w:val="20"/>
        </w:rPr>
        <w:t xml:space="preserve"> When analyzed from a system perspective, the current design is a standard substation and a corresponding compressor station with no motor starters or her (soft-start, variable frequency drive) motor controls.  Installation of motor starters / controllers would improve reliability and operational flexibility of the overall electrical supply system and motor control system.  It is most unusual to design 15000 HP motors with no motor starters or controls.  Each motor should have, at least, a circuit breaker, assuming contactors are not available, to start and stop the motor. The current design uses the substation circuit breaker as a surrogate motor starter / control device, and is NOT a generally accepted design for motor starters of any kind, particularly of this size.  As a result, GP and FGT must develop a unique “coordination” procedure that will help this arrangement (using the substation breakers as motor controllers, that is) work without mistakes or miscommunication that may cause or extend service outages.  For instance, the following scenario can occur due to the current design, but would be eliminated -- or have minimal effect -- using a standard design.  In the event that the combination circuit breaker / motor starter fails to open during a fault in the motor or motor circuit or other compressor station equipment, transformer protection in the substation will eventually open the circuit.  Though GP can manually reset the faulty circuit breaker in a short time after the transformer protection has operated, they will not restore power to the substation until a thorough investigation has been carried out. This investigation could last several hours or days depending on the severity of the fault and corresponding damage.  </w:t>
      </w:r>
    </w:p>
    <w:p>
      <w:pPr>
        <w:pStyle w:val="Normal"/>
        <w:autoSpaceDE w:val="false"/>
        <w:rPr>
          <w:rFonts w:ascii="Arial" w:hAnsi="Arial" w:cs="Arial"/>
          <w:sz w:val="22"/>
          <w:szCs w:val="20"/>
        </w:rPr>
      </w:pPr>
      <w:r>
        <w:rPr>
          <w:rFonts w:cs="Arial" w:ascii="Arial" w:hAnsi="Arial"/>
          <w:sz w:val="22"/>
          <w:szCs w:val="20"/>
        </w:rPr>
      </w:r>
    </w:p>
    <w:p>
      <w:pPr>
        <w:pStyle w:val="Normal"/>
        <w:autoSpaceDE w:val="false"/>
        <w:ind w:start="720" w:end="0"/>
        <w:rPr/>
      </w:pPr>
      <w:r>
        <w:rPr>
          <w:rFonts w:cs="Arial" w:ascii="Arial" w:hAnsi="Arial"/>
          <w:sz w:val="22"/>
          <w:szCs w:val="20"/>
        </w:rPr>
        <w:t xml:space="preserve">To reiterate: In standard motor control designs, control of the motors is not relegated to substation circuit breakers.  Substation breakers are for the protection of, and to allow maintenance of, the substation only.  Similar facilities should be provided within the compressor station for the same protection, maintenance and operability reasons as with substation design.  Such design is </w:t>
      </w:r>
      <w:r>
        <w:rPr>
          <w:rFonts w:cs="Arial" w:ascii="Arial" w:hAnsi="Arial"/>
          <w:i/>
          <w:iCs/>
          <w:sz w:val="22"/>
          <w:szCs w:val="20"/>
        </w:rPr>
        <w:t>not redundant</w:t>
      </w:r>
      <w:r>
        <w:rPr>
          <w:rFonts w:cs="Arial" w:ascii="Arial" w:hAnsi="Arial"/>
          <w:sz w:val="22"/>
          <w:szCs w:val="20"/>
        </w:rPr>
        <w:t xml:space="preserve">.  It is standard industry practice for providing appropriate equipment protection and operation and maintenance flexibility in the interest of minimizing service outages and operating and maintenance costs.  The function of motor controls in the compressor station is to control </w:t>
      </w:r>
      <w:r>
        <w:rPr>
          <w:rFonts w:cs="Arial" w:ascii="Arial" w:hAnsi="Arial"/>
          <w:sz w:val="22"/>
          <w:szCs w:val="20"/>
          <w:u w:val="single"/>
        </w:rPr>
        <w:t>and</w:t>
      </w:r>
      <w:r>
        <w:rPr>
          <w:rFonts w:cs="Arial" w:ascii="Arial" w:hAnsi="Arial"/>
          <w:sz w:val="22"/>
          <w:szCs w:val="20"/>
        </w:rPr>
        <w:t xml:space="preserve"> protect the motors.  Breakers in the substation are for primary protection of substation equipment and secondary protection of compressor station equipment in the event of failure of compressor station protective devices -- meaning motor controls, IF they exist.  ECS has discussed this general design matter with industry experts, including GE, who recognize ECS’s concerns as valid and agree that the current station design is not standard.  The risks associated with this non-standard design are related to equipment damage and interruption of operations.  There are no safety, health or environmental concerns.  A stalled motor rotor or compressor failure, that is not quickly protected by a dedicated (compressor station) breaker or other motor control device, is likely to be an expensive and time consuming repair or replacement.  Business interruption for hours to days is the second major concern.  There are other risks.  Compared to standard system design, there is certainly additional risk associated with using the substation breakers as motor control devices.   Since the substation breakers also double as motor controllers, the failure rate of these breakers / motor controllers will increase with more severe consequences in the (relatively more likely) event of a failure.  In addition, more frequent inspections and maintenance by Gulf Power will be required in effort to minimize failures.  Due to use of this equipment in a service for which it was not intended, equipment service life will be reduced.  Finally, if the motors had motor controls (circuit breakers or otherwise), operation and maintenance of the substation and compressor station would be independent.  No special procedure to coordinate such operations would be required by either GP/ECS or FGT, thus reducing costs and minimizing the inherent opportunity for miscommunication, misinterpretation or misapplication of the procedure.  (If there is a potential safety risk, this is it.)</w:t>
      </w:r>
    </w:p>
    <w:p>
      <w:pPr>
        <w:pStyle w:val="Normal"/>
        <w:autoSpaceDE w:val="false"/>
        <w:rPr>
          <w:rFonts w:ascii="Arial" w:hAnsi="Arial" w:cs="Arial"/>
          <w:sz w:val="22"/>
          <w:szCs w:val="20"/>
        </w:rPr>
      </w:pPr>
      <w:r>
        <w:rPr>
          <w:rFonts w:cs="Arial" w:ascii="Arial" w:hAnsi="Arial"/>
          <w:sz w:val="22"/>
          <w:szCs w:val="20"/>
        </w:rPr>
      </w:r>
    </w:p>
    <w:p>
      <w:pPr>
        <w:pStyle w:val="Normal"/>
        <w:autoSpaceDE w:val="false"/>
        <w:ind w:start="720" w:end="0"/>
        <w:rPr>
          <w:rFonts w:ascii="Arial" w:hAnsi="Arial" w:cs="Arial"/>
          <w:sz w:val="22"/>
          <w:szCs w:val="20"/>
        </w:rPr>
      </w:pPr>
      <w:r>
        <w:rPr>
          <w:rFonts w:cs="Arial" w:ascii="Arial" w:hAnsi="Arial"/>
          <w:sz w:val="22"/>
          <w:szCs w:val="20"/>
        </w:rPr>
        <w:t>In my view (interpretation) of the power supply contract, GP/ECS are protected in the event of power delivery interruptions, if the cause is beyond the control of GP/ECS.  When using the current, non-standard design, risks associated with equipment failure or operational oversights at the compressor station are effectively transferred to the substation by using substation breakers as motor control devices.  In the event of a failure as described above, the substation is taken out of service and GP/ECS are not fulfilling contract obligations (again, my interpretation) to have power available – whether or not FGT uses it. With a standard design, substation operation and the availability of power would be maintained while the compressor station is isolated and the compressor problem is remedied.  Put another way, the standard design assures that GP/ECS have power available at all times, and are not affected by compressor station operating or equipment problems</w:t>
      </w:r>
    </w:p>
    <w:p>
      <w:pPr>
        <w:pStyle w:val="Normal"/>
        <w:autoSpaceDE w:val="false"/>
        <w:rPr>
          <w:rFonts w:ascii="Arial" w:hAnsi="Arial" w:eastAsia="Arial" w:cs="Arial"/>
          <w:sz w:val="22"/>
          <w:szCs w:val="20"/>
        </w:rPr>
      </w:pPr>
      <w:r>
        <w:rPr>
          <w:rFonts w:eastAsia="Arial" w:cs="Arial" w:ascii="Arial" w:hAnsi="Arial"/>
          <w:sz w:val="22"/>
          <w:szCs w:val="20"/>
        </w:rPr>
        <w:t xml:space="preserve">  </w:t>
      </w:r>
    </w:p>
    <w:p>
      <w:pPr>
        <w:pStyle w:val="Normal"/>
        <w:autoSpaceDE w:val="false"/>
        <w:rPr>
          <w:rFonts w:ascii="Arial" w:hAnsi="Arial" w:cs="Arial"/>
          <w:sz w:val="22"/>
          <w:szCs w:val="20"/>
        </w:rPr>
      </w:pPr>
      <w:r>
        <w:rPr>
          <w:rFonts w:cs="Arial" w:ascii="Arial" w:hAnsi="Arial"/>
          <w:sz w:val="22"/>
          <w:szCs w:val="20"/>
        </w:rPr>
      </w:r>
    </w:p>
    <w:p>
      <w:pPr>
        <w:pStyle w:val="Heading2"/>
        <w:ind w:hanging="0" w:start="0"/>
        <w:rPr/>
      </w:pPr>
      <w:r>
        <w:rPr/>
        <w:t xml:space="preserve">ITEM 3 – Standby Transformer </w:t>
      </w:r>
    </w:p>
    <w:p>
      <w:pPr>
        <w:pStyle w:val="Normal"/>
        <w:autoSpaceDE w:val="false"/>
        <w:rPr>
          <w:rFonts w:ascii="Arial" w:hAnsi="Arial" w:cs="Arial"/>
          <w:sz w:val="22"/>
          <w:szCs w:val="20"/>
        </w:rPr>
      </w:pPr>
      <w:r>
        <w:rPr>
          <w:rFonts w:cs="Arial" w:ascii="Arial" w:hAnsi="Arial"/>
          <w:sz w:val="22"/>
          <w:szCs w:val="20"/>
        </w:rPr>
      </w:r>
    </w:p>
    <w:p>
      <w:pPr>
        <w:pStyle w:val="Normal"/>
        <w:autoSpaceDE w:val="false"/>
        <w:spacing w:lineRule="atLeast" w:line="240"/>
        <w:ind w:hanging="720" w:start="720" w:end="0"/>
        <w:rPr/>
      </w:pPr>
      <w:r>
        <w:rPr>
          <w:rFonts w:cs="Arial" w:ascii="Arial" w:hAnsi="Arial"/>
          <w:b/>
          <w:bCs/>
          <w:i/>
          <w:iCs/>
          <w:sz w:val="22"/>
          <w:szCs w:val="20"/>
        </w:rPr>
        <w:t>EECC:</w:t>
        <w:tab/>
      </w:r>
      <w:r>
        <w:rPr>
          <w:rFonts w:cs="Arial" w:ascii="Arial" w:hAnsi="Arial"/>
          <w:color w:val="000000"/>
          <w:sz w:val="22"/>
          <w:szCs w:val="20"/>
        </w:rPr>
        <w:t>Transformers cannot be connected in parallel as the resulting fault duty is greater than the ratings on the equipment purchased.  Transformers cannot be connected in parallel, as the resulting fault duty is greater than the ratings on the equipment purchased.</w:t>
      </w:r>
    </w:p>
    <w:p>
      <w:pPr>
        <w:pStyle w:val="Normal"/>
        <w:autoSpaceDE w:val="false"/>
        <w:spacing w:lineRule="atLeast" w:line="240"/>
        <w:rPr>
          <w:rFonts w:ascii="Arial" w:hAnsi="Arial" w:cs="Arial"/>
          <w:color w:val="000000"/>
          <w:sz w:val="22"/>
          <w:szCs w:val="20"/>
        </w:rPr>
      </w:pPr>
      <w:r>
        <w:rPr>
          <w:rFonts w:cs="Arial" w:ascii="Arial" w:hAnsi="Arial"/>
          <w:color w:val="000000"/>
          <w:sz w:val="22"/>
          <w:szCs w:val="20"/>
        </w:rPr>
      </w:r>
    </w:p>
    <w:p>
      <w:pPr>
        <w:pStyle w:val="Normal"/>
        <w:autoSpaceDE w:val="false"/>
        <w:ind w:hanging="720" w:start="720" w:end="0"/>
        <w:rPr/>
      </w:pPr>
      <w:r>
        <w:rPr>
          <w:rFonts w:cs="Arial" w:ascii="Arial" w:hAnsi="Arial"/>
          <w:b/>
          <w:bCs/>
          <w:i/>
          <w:iCs/>
          <w:color w:val="000000"/>
          <w:sz w:val="22"/>
          <w:szCs w:val="20"/>
        </w:rPr>
        <w:t>ECS:</w:t>
      </w:r>
      <w:r>
        <w:rPr>
          <w:rFonts w:cs="Arial" w:ascii="Arial" w:hAnsi="Arial"/>
          <w:color w:val="000000"/>
          <w:sz w:val="22"/>
          <w:szCs w:val="20"/>
        </w:rPr>
        <w:tab/>
        <w:t xml:space="preserve">ECS recognizes that fault duties could increase should the two transformers be connected in parallel.  If necessary, such a connection can be achieved by augmenting fault ratings of the protective equipment by installing fault limiting fuses or reactors.  The essential matter in this instance, however, is whether the standby transformer is “cold” or “warm”.  Warm standby minimizes maintenance problems and greatly increases the probability that the transformer is available when needed.  ECS and EECC have agreed that operation of the standby transformer in the “warm” mode using the current substation configuration is an acceptable resolution of this issue.  </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Fonts w:cs="Arial" w:ascii="Arial" w:hAnsi="Arial"/>
        <w:sz w:val="16"/>
      </w:rPr>
      <w:t xml:space="preserve">Page </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4</w:t>
    </w:r>
    <w:r>
      <w:rPr>
        <w:rStyle w:val="PageNumber"/>
        <w:sz w:val="16"/>
      </w:rPr>
      <w:fldChar w:fldCharType="end"/>
    </w:r>
    <w:r>
      <w:rPr>
        <w:rStyle w:val="PageNumber"/>
        <w:sz w:val="16"/>
      </w:rPr>
      <w:t xml:space="preserve"> of </w:t>
    </w:r>
    <w:r>
      <w:rPr>
        <w:rStyle w:val="PageNumber"/>
        <w:sz w:val="16"/>
      </w:rPr>
      <w:fldChar w:fldCharType="begin"/>
    </w:r>
    <w:r>
      <w:rPr>
        <w:rStyle w:val="PageNumber"/>
        <w:sz w:val="16"/>
      </w:rPr>
      <w:instrText xml:space="preserve"> NUMPAGES \* ARABIC </w:instrText>
    </w:r>
    <w:r>
      <w:rPr>
        <w:rStyle w:val="PageNumber"/>
        <w:sz w:val="16"/>
      </w:rPr>
      <w:fldChar w:fldCharType="separate"/>
    </w:r>
    <w:r>
      <w:rPr>
        <w:rStyle w:val="PageNumber"/>
        <w:sz w:val="16"/>
      </w:rPr>
      <w:t>4</w:t>
    </w:r>
    <w:r>
      <w:rPr>
        <w:rStyle w:val="PageNumbe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autoSpaceDE w:val="false"/>
      <w:outlineLvl w:val="0"/>
    </w:pPr>
    <w:rPr>
      <w:rFonts w:ascii="Arial" w:hAnsi="Arial" w:cs="Arial"/>
      <w:sz w:val="28"/>
      <w:szCs w:val="20"/>
    </w:rPr>
  </w:style>
  <w:style w:type="paragraph" w:styleId="Heading2">
    <w:name w:val="heading 2"/>
    <w:basedOn w:val="Normal"/>
    <w:next w:val="Normal"/>
    <w:qFormat/>
    <w:pPr>
      <w:keepNext w:val="true"/>
      <w:numPr>
        <w:ilvl w:val="1"/>
        <w:numId w:val="1"/>
      </w:numPr>
      <w:autoSpaceDE w:val="false"/>
      <w:outlineLvl w:val="1"/>
    </w:pPr>
    <w:rPr>
      <w:rFonts w:ascii="Arial" w:hAnsi="Arial" w:cs="Arial"/>
      <w:sz w:val="28"/>
      <w:szCs w:val="20"/>
      <w:u w:val="single"/>
    </w:rPr>
  </w:style>
  <w:style w:type="paragraph" w:styleId="Heading3">
    <w:name w:val="heading 3"/>
    <w:basedOn w:val="Normal"/>
    <w:next w:val="Normal"/>
    <w:qFormat/>
    <w:pPr>
      <w:keepNext w:val="true"/>
      <w:numPr>
        <w:ilvl w:val="2"/>
        <w:numId w:val="1"/>
      </w:numPr>
      <w:outlineLvl w:val="2"/>
    </w:pPr>
    <w:rPr>
      <w:sz w:val="32"/>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autoSpaceDE w:val="false"/>
      <w:spacing w:lineRule="atLeast" w:line="240"/>
      <w:ind w:hanging="0" w:start="720" w:end="0"/>
    </w:pPr>
    <w:rPr>
      <w:rFonts w:ascii="Courier;Courier New" w:hAnsi="Courier;Courier New" w:cs="Courier;Courier New"/>
      <w:color w:val="000000"/>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2001-11-07T11:05:00Z</dcterms:created>
  <dc:creator>dowen</dc:creator>
  <dc:description/>
  <dc:language>en-CA</dc:language>
  <cp:lastModifiedBy>dowen</cp:lastModifiedBy>
  <dcterms:modified xsi:type="dcterms:W3CDTF">2001-11-07T11:07:00Z</dcterms:modified>
  <cp:revision>3</cp:revision>
  <dc:subject/>
  <dc:title>The key point is that there is no concern with the substation</dc:title>
</cp:coreProperties>
</file>