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Response to Question 15.</w:t>
      </w:r>
    </w:p>
    <w:p>
      <w:pPr>
        <w:pStyle w:val="Normal"/>
        <w:jc w:val="both"/>
        <w:rPr>
          <w:b/>
        </w:rPr>
      </w:pPr>
      <w:r>
        <w:rPr>
          <w:b/>
        </w:rPr>
      </w:r>
    </w:p>
    <w:p>
      <w:pPr>
        <w:pStyle w:val="Normal"/>
        <w:jc w:val="both"/>
        <w:rPr/>
      </w:pPr>
      <w:r>
        <w:rPr/>
      </w:r>
    </w:p>
    <w:p>
      <w:pPr>
        <w:pStyle w:val="Normal"/>
        <w:jc w:val="both"/>
        <w:rPr/>
      </w:pPr>
      <w:r>
        <w:rPr/>
        <w:tab/>
        <w:t>The Applicant, Enron North America Corp. (“ENA”) operates under a Risk Management Policy approved by the Board of Directors of Enron Corp. (“Enron”), the parent of ENA.  The policy provides for the independent monitoring, reporting and reviewing of risk management/trading activities.  The policy sets forth the risk management philosophy and tolerances (position limits) by risk type and covers all significant products and commodities traded.  The policy also delineates the authority for managing the risks of ENA and defines a framework for timely communication to ENA’s independent risk control group and ENA/Enron senior management of risk positions and compliance with policy limits.  A daily position report is prepared by ENA’s Integrated Business Services Group, a commercial support group independent of the trading/risk management business unit.  The report summarizes all trading positions (on a marked-to-market basis), related profit/loss, and limit compliance.  The report is generated and reviewed daily by traders, commercial support staff, the independent risk control group and ENA/Enron senior management to manage and monitor the trading/hedging activities.</w:t>
      </w:r>
    </w:p>
    <w:p>
      <w:pPr>
        <w:pStyle w:val="Normal"/>
        <w:jc w:val="both"/>
        <w:rPr/>
      </w:pPr>
      <w:r>
        <w:rPr/>
      </w:r>
    </w:p>
    <w:p>
      <w:pPr>
        <w:pStyle w:val="Normal"/>
        <w:jc w:val="both"/>
        <w:rPr/>
      </w:pPr>
      <w:r>
        <w:rPr/>
        <w:tab/>
        <w:t>The financial exposure that is taken in each trading portfolio is stress tested periodically to determine financial exposure.  A “value-at-risk” methodology has been implemented to measure daily the possible downside exposure of the trading portfolio in addition to the notional (net open position) limits and loss exposure limits historically applied by ENA to its trading portfolio.</w:t>
      </w:r>
    </w:p>
    <w:p>
      <w:pPr>
        <w:pStyle w:val="Normal"/>
        <w:jc w:val="both"/>
        <w:rPr/>
      </w:pPr>
      <w:r>
        <w:rPr/>
      </w:r>
    </w:p>
    <w:p>
      <w:pPr>
        <w:pStyle w:val="Normal"/>
        <w:jc w:val="both"/>
        <w:rPr/>
      </w:pPr>
      <w:r>
        <w:rPr/>
        <w:tab/>
        <w:t>The internal controls are audited on a periodic basis by an independent auditing group.  The mathematical models and assumptions used to measure risk and limit exposures are periodically reviewed and verified to ensure propriety.  External expert review of models and assumptions is periodically performed as well.</w:t>
      </w:r>
    </w:p>
    <w:p>
      <w:pPr>
        <w:pStyle w:val="Normal"/>
        <w:jc w:val="both"/>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2000-07-13T13:48:00Z</dcterms:created>
  <dc:creator>tjones</dc:creator>
  <dc:description/>
  <dc:language>en-CA</dc:language>
  <cp:lastModifiedBy>tjones</cp:lastModifiedBy>
  <dcterms:modified xsi:type="dcterms:W3CDTF">2000-07-13T13:48:00Z</dcterms:modified>
  <cp:revision>1</cp:revision>
  <dc:subject/>
  <dc:title>Response to Question 15</dc:title>
</cp:coreProperties>
</file>