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Times New Roman" w:hAnsi="Times New Roman" w:cs="Times New Roman"/>
        </w:rPr>
      </w:pPr>
      <w:r>
        <w:rPr>
          <w:rFonts w:cs="Times New Roman" w:ascii="Times New Roman" w:hAnsi="Times New Roman"/>
        </w:rPr>
        <w:t>UNITED STATES OF AMERICA</w:t>
      </w:r>
    </w:p>
    <w:p>
      <w:pPr>
        <w:pStyle w:val="Normal"/>
        <w:widowControl/>
        <w:jc w:val="center"/>
        <w:rPr>
          <w:rFonts w:ascii="Times New Roman" w:hAnsi="Times New Roman" w:cs="Times New Roman"/>
          <w:b/>
          <w:sz w:val="24"/>
        </w:rPr>
      </w:pPr>
      <w:r>
        <w:rPr>
          <w:rFonts w:cs="Times New Roman" w:ascii="Times New Roman" w:hAnsi="Times New Roman"/>
          <w:b/>
          <w:sz w:val="24"/>
        </w:rPr>
        <w:t>BEFORE THE</w:t>
      </w:r>
    </w:p>
    <w:p>
      <w:pPr>
        <w:pStyle w:val="Normal"/>
        <w:widowControl/>
        <w:jc w:val="center"/>
        <w:rPr>
          <w:rFonts w:ascii="Times New Roman" w:hAnsi="Times New Roman" w:cs="Times New Roman"/>
          <w:b/>
          <w:sz w:val="24"/>
        </w:rPr>
      </w:pPr>
      <w:r>
        <w:rPr>
          <w:rFonts w:cs="Times New Roman" w:ascii="Times New Roman" w:hAnsi="Times New Roman"/>
          <w:b/>
          <w:sz w:val="24"/>
        </w:rPr>
        <w:t>FEDERAL ENERGY REGULATORY COMMISSION</w:t>
      </w:r>
    </w:p>
    <w:p>
      <w:pPr>
        <w:pStyle w:val="Normal"/>
        <w:widowControl/>
        <w:rPr>
          <w:rFonts w:ascii="Times New Roman" w:hAnsi="Times New Roman" w:cs="Times New Roman"/>
          <w:b/>
          <w:sz w:val="24"/>
        </w:rPr>
      </w:pPr>
      <w:r>
        <w:rPr>
          <w:rFonts w:cs="Times New Roman" w:ascii="Times New Roman" w:hAnsi="Times New Roman"/>
          <w:b/>
          <w:sz w:val="24"/>
        </w:rPr>
      </w:r>
    </w:p>
    <w:p>
      <w:pPr>
        <w:pStyle w:val="Normal"/>
        <w:widowControl/>
        <w:rPr>
          <w:rFonts w:ascii="Times New Roman" w:hAnsi="Times New Roman" w:cs="Times New Roman"/>
          <w:b/>
          <w:sz w:val="24"/>
        </w:rPr>
      </w:pPr>
      <w:r>
        <w:rPr>
          <w:rFonts w:cs="Times New Roman" w:ascii="Times New Roman" w:hAnsi="Times New Roman"/>
          <w:b/>
          <w:sz w:val="24"/>
        </w:rPr>
        <w:t>San Diego Gas &amp; Electric Company</w:t>
        <w:tab/>
        <w:tab/>
        <w:t>)</w:t>
        <w:tab/>
      </w:r>
    </w:p>
    <w:p>
      <w:pPr>
        <w:pStyle w:val="Normal"/>
        <w:widowControl/>
        <w:rPr>
          <w:rFonts w:ascii="Times New Roman" w:hAnsi="Times New Roman" w:cs="Times New Roman"/>
          <w:b/>
          <w:sz w:val="24"/>
        </w:rPr>
      </w:pPr>
      <w:r>
        <w:rPr>
          <w:rFonts w:cs="Times New Roman" w:ascii="Times New Roman" w:hAnsi="Times New Roman"/>
          <w:b/>
          <w:sz w:val="24"/>
        </w:rPr>
        <w:tab/>
        <w:tab/>
        <w:tab/>
        <w:tab/>
        <w:tab/>
        <w:tab/>
        <w:tab/>
        <w:t>)</w:t>
      </w:r>
    </w:p>
    <w:p>
      <w:pPr>
        <w:pStyle w:val="Normal"/>
        <w:widowControl/>
        <w:tabs>
          <w:tab w:val="left" w:pos="720" w:leader="none"/>
          <w:tab w:val="left" w:pos="5040" w:leader="none"/>
          <w:tab w:val="left" w:pos="5400" w:leader="none"/>
          <w:tab w:val="left" w:pos="6750" w:leader="none"/>
        </w:tabs>
        <w:ind w:hanging="720" w:start="720" w:end="0"/>
        <w:rPr>
          <w:rFonts w:ascii="Times New Roman" w:hAnsi="Times New Roman" w:cs="Times New Roman"/>
          <w:b/>
          <w:sz w:val="24"/>
        </w:rPr>
      </w:pPr>
      <w:r>
        <w:rPr>
          <w:rFonts w:cs="Times New Roman" w:ascii="Times New Roman" w:hAnsi="Times New Roman"/>
          <w:b/>
          <w:sz w:val="24"/>
        </w:rPr>
        <w:tab/>
        <w:t>v.</w:t>
        <w:tab/>
        <w:t>)</w:t>
        <w:tab/>
        <w:t>Docket Nos.</w:t>
        <w:tab/>
        <w:t>EL00-95-045</w:t>
        <w:tab/>
        <w:tab/>
        <w:t>)</w:t>
        <w:tab/>
        <w:tab/>
      </w:r>
    </w:p>
    <w:p>
      <w:pPr>
        <w:pStyle w:val="Normal"/>
        <w:widowControl/>
        <w:tabs>
          <w:tab w:val="clear" w:pos="720"/>
          <w:tab w:val="left" w:pos="5040" w:leader="none"/>
          <w:tab w:val="left" w:pos="6750" w:leader="none"/>
        </w:tabs>
        <w:rPr>
          <w:rFonts w:ascii="Times New Roman" w:hAnsi="Times New Roman" w:cs="Times New Roman"/>
          <w:b/>
          <w:sz w:val="24"/>
        </w:rPr>
      </w:pPr>
      <w:r>
        <w:rPr>
          <w:rFonts w:cs="Times New Roman" w:ascii="Times New Roman" w:hAnsi="Times New Roman"/>
          <w:b/>
          <w:sz w:val="24"/>
        </w:rPr>
        <w:t>Sellers of Energy and Ancillary Services Into</w:t>
        <w:tab/>
        <w:t>)</w:t>
        <w:tab/>
      </w:r>
    </w:p>
    <w:p>
      <w:pPr>
        <w:pStyle w:val="Normal"/>
        <w:widowControl/>
        <w:rPr>
          <w:rFonts w:ascii="Times New Roman" w:hAnsi="Times New Roman" w:cs="Times New Roman"/>
          <w:b/>
          <w:sz w:val="24"/>
        </w:rPr>
      </w:pPr>
      <w:r>
        <w:rPr>
          <w:rFonts w:cs="Times New Roman" w:ascii="Times New Roman" w:hAnsi="Times New Roman"/>
          <w:b/>
          <w:sz w:val="24"/>
        </w:rPr>
        <w:tab/>
        <w:t xml:space="preserve">Markets Operated by the California </w:t>
        <w:tab/>
        <w:t>)</w:t>
        <w:tab/>
        <w:tab/>
        <w:t xml:space="preserve">    </w:t>
      </w:r>
    </w:p>
    <w:p>
      <w:pPr>
        <w:pStyle w:val="Normal"/>
        <w:widowControl/>
        <w:ind w:firstLine="720" w:end="0"/>
        <w:rPr>
          <w:rFonts w:ascii="Times New Roman" w:hAnsi="Times New Roman" w:cs="Times New Roman"/>
          <w:b/>
          <w:sz w:val="24"/>
        </w:rPr>
      </w:pPr>
      <w:r>
        <w:rPr>
          <w:rFonts w:cs="Times New Roman" w:ascii="Times New Roman" w:hAnsi="Times New Roman"/>
          <w:b/>
          <w:sz w:val="24"/>
        </w:rPr>
        <w:t xml:space="preserve">Independent System </w:t>
        <w:tab/>
        <w:t>Operator and the</w:t>
        <w:tab/>
        <w:t>)</w:t>
      </w:r>
    </w:p>
    <w:p>
      <w:pPr>
        <w:pStyle w:val="Normal"/>
        <w:widowControl/>
        <w:ind w:firstLine="720" w:end="0"/>
        <w:rPr>
          <w:rFonts w:ascii="Times New Roman" w:hAnsi="Times New Roman" w:cs="Times New Roman"/>
          <w:b/>
          <w:sz w:val="24"/>
        </w:rPr>
      </w:pPr>
      <w:r>
        <w:rPr>
          <w:rFonts w:cs="Times New Roman" w:ascii="Times New Roman" w:hAnsi="Times New Roman"/>
          <w:b/>
          <w:sz w:val="24"/>
        </w:rPr>
        <w:t>California Power Exchange</w:t>
        <w:tab/>
        <w:tab/>
        <w:tab/>
        <w:t>)</w:t>
      </w:r>
    </w:p>
    <w:p>
      <w:pPr>
        <w:pStyle w:val="Normal"/>
        <w:widowControl/>
        <w:rPr>
          <w:rFonts w:ascii="Times New Roman" w:hAnsi="Times New Roman" w:cs="Times New Roman"/>
          <w:b/>
          <w:sz w:val="24"/>
        </w:rPr>
      </w:pPr>
      <w:r>
        <w:rPr>
          <w:rFonts w:cs="Times New Roman" w:ascii="Times New Roman" w:hAnsi="Times New Roman"/>
          <w:b/>
          <w:sz w:val="24"/>
        </w:rPr>
        <w:tab/>
        <w:tab/>
        <w:tab/>
        <w:tab/>
        <w:tab/>
        <w:tab/>
        <w:tab/>
        <w:t>)</w:t>
      </w:r>
    </w:p>
    <w:p>
      <w:pPr>
        <w:pStyle w:val="Normal"/>
        <w:widowControl/>
        <w:ind w:firstLine="720" w:start="4320" w:end="0"/>
        <w:rPr>
          <w:rFonts w:ascii="Times New Roman" w:hAnsi="Times New Roman" w:cs="Times New Roman"/>
          <w:b/>
          <w:sz w:val="24"/>
        </w:rPr>
      </w:pPr>
      <w:r>
        <w:rPr>
          <w:rFonts w:cs="Times New Roman" w:ascii="Times New Roman" w:hAnsi="Times New Roman"/>
          <w:b/>
          <w:sz w:val="24"/>
        </w:rPr>
        <w:t>)</w:t>
      </w:r>
    </w:p>
    <w:p>
      <w:pPr>
        <w:pStyle w:val="Normal"/>
        <w:widowControl/>
        <w:rPr>
          <w:rFonts w:ascii="Times New Roman" w:hAnsi="Times New Roman" w:cs="Times New Roman"/>
          <w:b/>
          <w:sz w:val="24"/>
        </w:rPr>
      </w:pPr>
      <w:r>
        <w:rPr>
          <w:rFonts w:cs="Times New Roman" w:ascii="Times New Roman" w:hAnsi="Times New Roman"/>
          <w:b/>
          <w:sz w:val="24"/>
        </w:rPr>
        <w:t>Investigation of Practices of the California</w:t>
        <w:tab/>
        <w:t>)</w:t>
        <w:tab/>
        <w:tab/>
        <w:t>EL00-98-042</w:t>
      </w:r>
    </w:p>
    <w:p>
      <w:pPr>
        <w:pStyle w:val="Normal"/>
        <w:widowControl/>
        <w:rPr>
          <w:rFonts w:ascii="Times New Roman" w:hAnsi="Times New Roman" w:cs="Times New Roman"/>
          <w:b/>
          <w:sz w:val="24"/>
        </w:rPr>
      </w:pPr>
      <w:r>
        <w:rPr>
          <w:rFonts w:cs="Times New Roman" w:ascii="Times New Roman" w:hAnsi="Times New Roman"/>
          <w:b/>
          <w:sz w:val="24"/>
        </w:rPr>
        <w:tab/>
        <w:t>Independent System Operator and the</w:t>
        <w:tab/>
        <w:t>)</w:t>
        <w:tab/>
        <w:tab/>
      </w:r>
    </w:p>
    <w:p>
      <w:pPr>
        <w:pStyle w:val="Normal"/>
        <w:widowControl/>
        <w:rPr>
          <w:rFonts w:ascii="Times New Roman" w:hAnsi="Times New Roman" w:cs="Times New Roman"/>
          <w:b/>
          <w:sz w:val="24"/>
        </w:rPr>
      </w:pPr>
      <w:r>
        <w:rPr>
          <w:rFonts w:cs="Times New Roman" w:ascii="Times New Roman" w:hAnsi="Times New Roman"/>
          <w:b/>
          <w:sz w:val="24"/>
        </w:rPr>
        <w:tab/>
        <w:t>California Power Exchange</w:t>
        <w:tab/>
        <w:tab/>
        <w:tab/>
        <w:t>)</w:t>
        <w:tab/>
        <w:tab/>
      </w:r>
    </w:p>
    <w:p>
      <w:pPr>
        <w:pStyle w:val="Normal"/>
        <w:widowControl/>
        <w:rPr>
          <w:rFonts w:ascii="Times New Roman" w:hAnsi="Times New Roman" w:cs="Times New Roman"/>
          <w:b/>
          <w:sz w:val="24"/>
        </w:rPr>
      </w:pPr>
      <w:r>
        <w:rPr>
          <w:rFonts w:cs="Times New Roman" w:ascii="Times New Roman" w:hAnsi="Times New Roman"/>
          <w:b/>
          <w:sz w:val="24"/>
        </w:rPr>
      </w:r>
    </w:p>
    <w:p>
      <w:pPr>
        <w:pStyle w:val="Heading6"/>
        <w:rPr/>
      </w:pPr>
      <w:r>
        <w:rPr/>
        <w:t xml:space="preserve">RESPONSE TO PRESIDING JUDGE’S ORDER ISSUED </w:t>
      </w:r>
    </w:p>
    <w:p>
      <w:pPr>
        <w:pStyle w:val="Heading6"/>
        <w:rPr/>
      </w:pPr>
      <w:r>
        <w:rPr/>
        <w:t xml:space="preserve">NOVEMBER 15, 2001 OF </w:t>
      </w:r>
    </w:p>
    <w:p>
      <w:pPr>
        <w:pStyle w:val="Heading6"/>
        <w:rPr>
          <w:b w:val="false"/>
          <w:u w:val="single"/>
        </w:rPr>
      </w:pPr>
      <w:r>
        <w:rPr>
          <w:u w:val="single"/>
        </w:rPr>
        <w:t>WILLIAMS ENERGY MARKETING &amp; TRADING COMPANY</w:t>
      </w:r>
    </w:p>
    <w:p>
      <w:pPr>
        <w:pStyle w:val="Normal"/>
        <w:widowControl/>
        <w:jc w:val="center"/>
        <w:rPr>
          <w:rFonts w:ascii="Times New Roman" w:hAnsi="Times New Roman" w:cs="Times New Roman"/>
          <w:b/>
          <w:sz w:val="24"/>
          <w:u w:val="single"/>
        </w:rPr>
      </w:pPr>
      <w:r>
        <w:rPr>
          <w:rFonts w:cs="Times New Roman" w:ascii="Times New Roman" w:hAnsi="Times New Roman"/>
          <w:b/>
          <w:sz w:val="24"/>
          <w:u w:val="single"/>
        </w:rPr>
      </w:r>
    </w:p>
    <w:p>
      <w:pPr>
        <w:pStyle w:val="BodyText2"/>
        <w:spacing w:lineRule="auto" w:line="480"/>
        <w:ind w:firstLine="720" w:end="0"/>
        <w:rPr/>
      </w:pPr>
      <w:r>
        <w:rPr/>
        <w:t>Pursuant to the Order Lifting Protective Order from Heat Rate and MMCP Data and Concerning Continued Application of the Protective Order, issued on November 15, 2001 by the Presiding Judge in the above-captioned dockets, Williams Energy Marketing &amp; Trading Company (“Williams”) hereby files its Response.  In support thereof, Williams states as follows:</w:t>
      </w:r>
    </w:p>
    <w:p>
      <w:pPr>
        <w:pStyle w:val="BodyText2"/>
        <w:spacing w:lineRule="auto" w:line="480"/>
        <w:ind w:firstLine="720" w:end="0"/>
        <w:rPr/>
      </w:pPr>
      <w:r>
        <w:rPr/>
        <w:t xml:space="preserve">The Presiding Judge, in his November 15 Order, directed that “for purposes of this proceeding, . . . heat rate data, and the calculation of the Mitigated Market Clearing Price shall be treated as part of the public record of this proceeding, and shall not be submitted or kept under seal.”  The Presiding Judge further ruled that, </w:t>
      </w:r>
    </w:p>
    <w:p>
      <w:pPr>
        <w:pStyle w:val="BodyText2"/>
        <w:spacing w:lineRule="auto" w:line="240"/>
        <w:ind w:start="720" w:end="720"/>
        <w:rPr/>
      </w:pPr>
      <w:r>
        <w:rPr/>
        <w:t>each participant that filed responsive testimony and supporting exhibits on issue #1 and/or section 202(c) on or about November 6, 2001 is directed to file a pleading and advise me and the Secretary, with service to all parties through LISTSERV, by November 21, 2001, which (a) clearly identifies those portions of their pre-filed testimony and supporting exhibits pertaining to heat rate and MMCP data that are no longer under seal as a result of this order and (b) clearly identifies those portions of their pre-filed testimony and supporting exhibits which continue to be under seal and subject to the Protective Order.</w:t>
      </w:r>
    </w:p>
    <w:p>
      <w:pPr>
        <w:pStyle w:val="BodyText2"/>
        <w:spacing w:lineRule="auto" w:line="240"/>
        <w:ind w:end="720"/>
        <w:rPr/>
      </w:pPr>
      <w:r>
        <w:rPr/>
      </w:r>
    </w:p>
    <w:p>
      <w:pPr>
        <w:pStyle w:val="BodyText2"/>
        <w:spacing w:lineRule="auto" w:line="480"/>
        <w:ind w:firstLine="720" w:end="0"/>
        <w:rPr/>
      </w:pPr>
      <w:r>
        <w:rPr/>
        <w:t xml:space="preserve">Pursuant to these directives, Williams hereby states that the following portions of the Confidential Version of Exhibit DME-00 (the Prepared Direct Testimony of Dennis Elliott on Behalf of Williams), which were redacted in the Public Version, are no longer confidential and should no longer be maintained under seal: </w:t>
      </w:r>
    </w:p>
    <w:p>
      <w:pPr>
        <w:pStyle w:val="BodyText2"/>
        <w:numPr>
          <w:ilvl w:val="0"/>
          <w:numId w:val="13"/>
        </w:numPr>
        <w:tabs>
          <w:tab w:val="clear" w:pos="720"/>
          <w:tab w:val="left" w:pos="1800" w:leader="none"/>
        </w:tabs>
        <w:spacing w:lineRule="auto" w:line="480"/>
        <w:ind w:hanging="360" w:start="1800" w:end="0"/>
        <w:rPr/>
      </w:pPr>
      <w:r>
        <w:rPr/>
        <w:t>Page 17, Lines 8-9 of Confidential Version (corresponding to Page 11, Lines 18-19 of the Public Version):</w:t>
      </w:r>
    </w:p>
    <w:p>
      <w:pPr>
        <w:pStyle w:val="BodyText2"/>
        <w:spacing w:lineRule="auto" w:line="480"/>
        <w:ind w:hanging="2160" w:start="3600" w:end="0"/>
        <w:rPr/>
      </w:pPr>
      <w:r>
        <w:rPr/>
        <w:tab/>
        <w:t>The sentence, previously redacted in part in the Public Version, reads in full as follows: “The net total gas actually consumed during the period relevant to these proceedings was 111,233,786 MMBTUs.”</w:t>
      </w:r>
    </w:p>
    <w:p>
      <w:pPr>
        <w:pStyle w:val="BodyText2"/>
        <w:numPr>
          <w:ilvl w:val="0"/>
          <w:numId w:val="8"/>
        </w:numPr>
        <w:tabs>
          <w:tab w:val="clear" w:pos="720"/>
          <w:tab w:val="left" w:pos="1800" w:leader="none"/>
        </w:tabs>
        <w:spacing w:lineRule="auto" w:line="480"/>
        <w:ind w:hanging="360" w:start="1800" w:end="0"/>
        <w:rPr/>
      </w:pPr>
      <w:r>
        <w:rPr/>
        <w:t>Page 17, Lines 16-18 of Confidential Version (corresponding to Page 12, Lines 3-4 of the Public Version):</w:t>
      </w:r>
    </w:p>
    <w:p>
      <w:pPr>
        <w:pStyle w:val="BodyText2"/>
        <w:spacing w:lineRule="auto" w:line="480"/>
        <w:ind w:hanging="2160" w:start="3600" w:end="0"/>
        <w:rPr/>
      </w:pPr>
      <w:r>
        <w:rPr/>
        <w:tab/>
        <w:t>The sentence, previously redacted in part in the Public Version, reads in full as follows: “Williams then added the computed quantity of gas for all units for the period relevant to these proceedings, which was calculated to be 112,078,699 MMBTUs.”</w:t>
      </w:r>
    </w:p>
    <w:p>
      <w:pPr>
        <w:pStyle w:val="BodyText2"/>
        <w:spacing w:lineRule="auto" w:line="480"/>
        <w:ind w:firstLine="720" w:end="0"/>
        <w:rPr/>
      </w:pPr>
      <w:r>
        <w:rPr/>
        <w:t>Additionally, the following supporting exhibits, which were included in the Confidential Version of Williams’ filing, but not included in the Public Version, are no longer confidential and should no longer be maintained under seal:</w:t>
      </w:r>
    </w:p>
    <w:p>
      <w:pPr>
        <w:pStyle w:val="BodyText2"/>
        <w:numPr>
          <w:ilvl w:val="0"/>
          <w:numId w:val="2"/>
        </w:numPr>
        <w:tabs>
          <w:tab w:val="clear" w:pos="720"/>
          <w:tab w:val="left" w:pos="1800" w:leader="none"/>
        </w:tabs>
        <w:spacing w:lineRule="auto" w:line="480"/>
        <w:ind w:hanging="360" w:start="1800" w:end="0"/>
        <w:rPr/>
      </w:pPr>
      <w:r>
        <w:rPr/>
        <w:t xml:space="preserve">DME-19: </w:t>
        <w:tab/>
        <w:t>11 Point Heat Rate Curve</w:t>
      </w:r>
    </w:p>
    <w:p>
      <w:pPr>
        <w:pStyle w:val="BodyText2"/>
        <w:numPr>
          <w:ilvl w:val="0"/>
          <w:numId w:val="2"/>
        </w:numPr>
        <w:tabs>
          <w:tab w:val="clear" w:pos="720"/>
          <w:tab w:val="left" w:pos="1800" w:leader="none"/>
        </w:tabs>
        <w:spacing w:lineRule="auto" w:line="480"/>
        <w:ind w:hanging="360" w:start="1800" w:end="0"/>
        <w:rPr/>
      </w:pPr>
      <w:r>
        <w:rPr/>
        <w:t>DME-20:</w:t>
        <w:tab/>
        <w:t>October 10, 2001 Letter from Williams to the ISO</w:t>
      </w:r>
    </w:p>
    <w:p>
      <w:pPr>
        <w:pStyle w:val="BodyText2"/>
        <w:numPr>
          <w:ilvl w:val="0"/>
          <w:numId w:val="2"/>
        </w:numPr>
        <w:tabs>
          <w:tab w:val="clear" w:pos="720"/>
          <w:tab w:val="left" w:pos="1800" w:leader="none"/>
        </w:tabs>
        <w:spacing w:lineRule="auto" w:line="480"/>
        <w:ind w:hanging="360" w:start="1800" w:end="0"/>
        <w:rPr/>
      </w:pPr>
      <w:r>
        <w:rPr/>
        <w:t>DME-21:</w:t>
        <w:tab/>
        <w:t xml:space="preserve">Williams’ Comparison of Actual Gas to Calculated Gas </w:t>
      </w:r>
    </w:p>
    <w:p>
      <w:pPr>
        <w:pStyle w:val="BodyText2"/>
        <w:spacing w:lineRule="auto" w:line="480"/>
        <w:ind w:firstLine="720" w:start="2160" w:end="0"/>
        <w:rPr/>
      </w:pPr>
      <w:r>
        <w:rPr/>
        <w:t>Using the 11 Point Heat Rate Curves</w:t>
      </w:r>
    </w:p>
    <w:p>
      <w:pPr>
        <w:pStyle w:val="BodyText2"/>
        <w:spacing w:lineRule="auto" w:line="480"/>
        <w:rPr/>
      </w:pPr>
      <w:r>
        <w:rPr/>
        <w:tab/>
        <w:t>The following remain confidential and should be maintained under seal, not available to competitive personnel, pursuant to the Protective Order entered in these proceedings:</w:t>
      </w:r>
    </w:p>
    <w:p>
      <w:pPr>
        <w:pStyle w:val="BodyText2"/>
        <w:numPr>
          <w:ilvl w:val="0"/>
          <w:numId w:val="11"/>
        </w:numPr>
        <w:tabs>
          <w:tab w:val="clear" w:pos="720"/>
          <w:tab w:val="left" w:pos="1800" w:leader="none"/>
        </w:tabs>
        <w:spacing w:lineRule="auto" w:line="480"/>
        <w:ind w:hanging="360" w:start="1800" w:end="0"/>
        <w:rPr/>
      </w:pPr>
      <w:r>
        <w:rPr/>
        <w:t>DME-00:</w:t>
        <w:tab/>
        <w:t xml:space="preserve">Prepared Direct Testimony of Dennis Elliot (all of the </w:t>
      </w:r>
    </w:p>
    <w:p>
      <w:pPr>
        <w:pStyle w:val="BodyText2"/>
        <w:spacing w:lineRule="auto" w:line="480"/>
        <w:ind w:start="2880" w:end="0"/>
        <w:rPr/>
      </w:pPr>
      <w:r>
        <w:rPr/>
        <w:t xml:space="preserve">following are clearly labeled as Redacted in the Public Version): </w:t>
      </w:r>
    </w:p>
    <w:p>
      <w:pPr>
        <w:pStyle w:val="BodyText2"/>
        <w:numPr>
          <w:ilvl w:val="0"/>
          <w:numId w:val="9"/>
        </w:numPr>
        <w:tabs>
          <w:tab w:val="clear" w:pos="720"/>
          <w:tab w:val="left" w:pos="3240" w:leader="none"/>
        </w:tabs>
        <w:spacing w:lineRule="auto" w:line="480"/>
        <w:ind w:hanging="360" w:start="3240" w:end="0"/>
        <w:rPr>
          <w:b/>
        </w:rPr>
      </w:pPr>
      <w:r>
        <w:rPr/>
        <w:t>Page 3, Lines 18-23, and Page 4, Line 1 (first clause of sentence) of the Confidential Version (corresponding to Page 3, Lines 18-19 of the Public Version)</w:t>
      </w:r>
    </w:p>
    <w:p>
      <w:pPr>
        <w:pStyle w:val="BodyText2"/>
        <w:numPr>
          <w:ilvl w:val="0"/>
          <w:numId w:val="9"/>
        </w:numPr>
        <w:tabs>
          <w:tab w:val="clear" w:pos="720"/>
          <w:tab w:val="left" w:pos="3240" w:leader="none"/>
        </w:tabs>
        <w:spacing w:lineRule="auto" w:line="480"/>
        <w:ind w:hanging="360" w:start="3240" w:end="0"/>
        <w:rPr>
          <w:b/>
        </w:rPr>
      </w:pPr>
      <w:r>
        <w:rPr/>
        <w:t>Page 5, Line 4 (sentence beginning with the word “AES”) through Line 8 of the Confidential Version (corresponding to Page 4, Line 22 of the Public Version)</w:t>
      </w:r>
    </w:p>
    <w:p>
      <w:pPr>
        <w:pStyle w:val="BodyText2"/>
        <w:numPr>
          <w:ilvl w:val="0"/>
          <w:numId w:val="9"/>
        </w:numPr>
        <w:tabs>
          <w:tab w:val="clear" w:pos="720"/>
          <w:tab w:val="left" w:pos="3240" w:leader="none"/>
        </w:tabs>
        <w:spacing w:lineRule="auto" w:line="480"/>
        <w:ind w:hanging="360" w:start="3240" w:end="0"/>
        <w:rPr>
          <w:b/>
        </w:rPr>
      </w:pPr>
      <w:r>
        <w:rPr/>
        <w:t>Page 8, Lines 19-23, Page 9, Lines 1-23, Page 10, Lines 1-22, Page 11, Lines 1-23, Page 12, Lines 1-23, Page 13, Lines 1-18 of the Confidential Version (corresponding to Page 8, Line 11 of the Public Version)</w:t>
      </w:r>
    </w:p>
    <w:p>
      <w:pPr>
        <w:pStyle w:val="BodyText2"/>
        <w:numPr>
          <w:ilvl w:val="0"/>
          <w:numId w:val="9"/>
        </w:numPr>
        <w:tabs>
          <w:tab w:val="clear" w:pos="720"/>
          <w:tab w:val="left" w:pos="3240" w:leader="none"/>
        </w:tabs>
        <w:spacing w:lineRule="auto" w:line="480"/>
        <w:ind w:hanging="360" w:start="3240" w:end="0"/>
        <w:rPr/>
      </w:pPr>
      <w:r>
        <w:rPr/>
        <w:t>Page 14, Line 9 (sentence beginning with the word “Because”) through Line 13 (sentence ending with the word “facts”) of the Confidential Version (corresponding to Page 8, Line 22 of the Public Version)</w:t>
      </w:r>
    </w:p>
    <w:p>
      <w:pPr>
        <w:pStyle w:val="BodyText2"/>
        <w:numPr>
          <w:ilvl w:val="0"/>
          <w:numId w:val="5"/>
        </w:numPr>
        <w:tabs>
          <w:tab w:val="clear" w:pos="720"/>
          <w:tab w:val="left" w:pos="1800" w:leader="none"/>
        </w:tabs>
        <w:spacing w:lineRule="auto" w:line="480"/>
        <w:ind w:hanging="360" w:start="1800" w:end="0"/>
        <w:rPr/>
      </w:pPr>
      <w:r>
        <w:rPr/>
        <w:t>DME-02:</w:t>
        <w:tab/>
        <w:t xml:space="preserve">November 16, 2000 Letter from AES to Williams with </w:t>
      </w:r>
    </w:p>
    <w:p>
      <w:pPr>
        <w:pStyle w:val="BodyText2"/>
        <w:spacing w:lineRule="auto" w:line="480"/>
        <w:ind w:start="2880" w:end="0"/>
        <w:rPr/>
      </w:pPr>
      <w:r>
        <w:rPr/>
        <w:t>Supporting Documentation (Confidential and Protected in Full – Not Available to Competitive Duty Personnel)</w:t>
      </w:r>
    </w:p>
    <w:p>
      <w:pPr>
        <w:pStyle w:val="BodyText2"/>
        <w:numPr>
          <w:ilvl w:val="0"/>
          <w:numId w:val="3"/>
        </w:numPr>
        <w:tabs>
          <w:tab w:val="clear" w:pos="720"/>
          <w:tab w:val="left" w:pos="1800" w:leader="none"/>
        </w:tabs>
        <w:spacing w:lineRule="auto" w:line="480"/>
        <w:ind w:hanging="360" w:start="1800" w:end="0"/>
        <w:rPr/>
      </w:pPr>
      <w:r>
        <w:rPr/>
        <w:t>DME-03:</w:t>
        <w:tab/>
        <w:t xml:space="preserve">December 12, 2000 Settlement Agreement (Confidential </w:t>
      </w:r>
    </w:p>
    <w:p>
      <w:pPr>
        <w:pStyle w:val="BodyText2"/>
        <w:spacing w:lineRule="auto" w:line="480"/>
        <w:ind w:start="2880" w:end="0"/>
        <w:rPr/>
      </w:pPr>
      <w:r>
        <w:rPr/>
        <w:t>and Protected in Full – Not Available to Competitive Duty Personnel)</w:t>
      </w:r>
    </w:p>
    <w:p>
      <w:pPr>
        <w:pStyle w:val="Heading2"/>
        <w:numPr>
          <w:ilvl w:val="0"/>
          <w:numId w:val="10"/>
        </w:numPr>
        <w:tabs>
          <w:tab w:val="clear" w:pos="720"/>
          <w:tab w:val="left" w:pos="1800" w:leader="none"/>
        </w:tabs>
        <w:spacing w:lineRule="auto" w:line="480"/>
        <w:ind w:hanging="360" w:start="1800" w:end="0"/>
        <w:rPr/>
      </w:pPr>
      <w:r>
        <w:rPr/>
        <w:t xml:space="preserve">DME-11: </w:t>
        <w:tab/>
        <w:t xml:space="preserve">December 12, 2000 Letter Agreement (Confidential and </w:t>
      </w:r>
    </w:p>
    <w:p>
      <w:pPr>
        <w:pStyle w:val="Heading2"/>
        <w:spacing w:lineRule="auto" w:line="480"/>
        <w:ind w:start="2880" w:end="0"/>
        <w:rPr/>
      </w:pPr>
      <w:r>
        <w:rPr/>
        <w:t>Protected in Full – Not Available to Competitive Duty Personnel)</w:t>
      </w:r>
    </w:p>
    <w:p>
      <w:pPr>
        <w:pStyle w:val="Normal"/>
        <w:numPr>
          <w:ilvl w:val="0"/>
          <w:numId w:val="7"/>
        </w:numPr>
        <w:tabs>
          <w:tab w:val="clear" w:pos="720"/>
          <w:tab w:val="left" w:pos="1800" w:leader="none"/>
        </w:tabs>
        <w:spacing w:lineRule="auto" w:line="480"/>
        <w:ind w:hanging="360" w:start="1800" w:end="0"/>
        <w:rPr>
          <w:sz w:val="24"/>
        </w:rPr>
      </w:pPr>
      <w:r>
        <w:rPr>
          <w:sz w:val="24"/>
        </w:rPr>
        <w:t xml:space="preserve">DME-12: </w:t>
        <w:tab/>
        <w:t xml:space="preserve">E-Mail Containing Terms of December 7, 2000 Agreement </w:t>
      </w:r>
    </w:p>
    <w:p>
      <w:pPr>
        <w:pStyle w:val="Normal"/>
        <w:spacing w:lineRule="auto" w:line="480"/>
        <w:ind w:start="2880" w:end="0"/>
        <w:rPr>
          <w:sz w:val="24"/>
        </w:rPr>
      </w:pPr>
      <w:r>
        <w:rPr>
          <w:sz w:val="24"/>
        </w:rPr>
        <w:t>(Confidential and Protected in Full – Not Available to Competitive Duty Personnel)</w:t>
      </w:r>
    </w:p>
    <w:p>
      <w:pPr>
        <w:pStyle w:val="BodyTextIndent2"/>
        <w:numPr>
          <w:ilvl w:val="0"/>
          <w:numId w:val="6"/>
        </w:numPr>
        <w:tabs>
          <w:tab w:val="clear" w:pos="720"/>
          <w:tab w:val="left" w:pos="1800" w:leader="none"/>
        </w:tabs>
        <w:spacing w:lineRule="auto" w:line="480"/>
        <w:ind w:hanging="360" w:start="1800" w:end="0"/>
        <w:jc w:val="start"/>
        <w:rPr/>
      </w:pPr>
      <w:r>
        <w:rPr/>
        <w:t xml:space="preserve">DME-13: </w:t>
        <w:tab/>
        <w:t xml:space="preserve">April 26, 2001 Letter Agreement (Confidential and </w:t>
      </w:r>
    </w:p>
    <w:p>
      <w:pPr>
        <w:pStyle w:val="BodyTextIndent2"/>
        <w:spacing w:lineRule="auto" w:line="480"/>
        <w:ind w:hanging="0" w:start="2880" w:end="0"/>
        <w:jc w:val="start"/>
        <w:rPr/>
      </w:pPr>
      <w:r>
        <w:rPr/>
        <w:t>Protected in Full – Not Available to Competitive Duty Personnel)</w:t>
      </w:r>
    </w:p>
    <w:p>
      <w:pPr>
        <w:pStyle w:val="BodyTextIndent2"/>
        <w:numPr>
          <w:ilvl w:val="0"/>
          <w:numId w:val="4"/>
        </w:numPr>
        <w:tabs>
          <w:tab w:val="clear" w:pos="720"/>
          <w:tab w:val="left" w:pos="1800" w:leader="none"/>
        </w:tabs>
        <w:spacing w:lineRule="auto" w:line="480"/>
        <w:ind w:hanging="360" w:start="1800" w:end="0"/>
        <w:jc w:val="start"/>
        <w:rPr/>
      </w:pPr>
      <w:r>
        <w:rPr/>
        <w:t xml:space="preserve">DME-14: </w:t>
        <w:tab/>
        <w:t xml:space="preserve">June 4, 2001 Letter Agreement (Confidential and Protected </w:t>
      </w:r>
    </w:p>
    <w:p>
      <w:pPr>
        <w:pStyle w:val="BodyTextIndent2"/>
        <w:spacing w:lineRule="auto" w:line="480"/>
        <w:ind w:start="2160" w:end="0"/>
        <w:jc w:val="start"/>
        <w:rPr/>
      </w:pPr>
      <w:r>
        <w:rPr/>
        <w:t>in Full – Not Available to Competitive Duty Personnel)</w:t>
      </w:r>
    </w:p>
    <w:p>
      <w:pPr>
        <w:pStyle w:val="BodyTextIndent2"/>
        <w:numPr>
          <w:ilvl w:val="0"/>
          <w:numId w:val="15"/>
        </w:numPr>
        <w:tabs>
          <w:tab w:val="clear" w:pos="720"/>
          <w:tab w:val="left" w:pos="1800" w:leader="none"/>
        </w:tabs>
        <w:spacing w:lineRule="auto" w:line="480"/>
        <w:ind w:hanging="360" w:start="1800" w:end="0"/>
        <w:jc w:val="start"/>
        <w:rPr/>
      </w:pPr>
      <w:r>
        <w:rPr/>
        <w:t xml:space="preserve">DME-15: </w:t>
        <w:tab/>
        <w:t xml:space="preserve">Transaction Confirmations (Confidential and Protected in </w:t>
      </w:r>
    </w:p>
    <w:p>
      <w:pPr>
        <w:pStyle w:val="BodyTextIndent2"/>
        <w:spacing w:lineRule="auto" w:line="480"/>
        <w:ind w:start="2160" w:end="0"/>
        <w:jc w:val="start"/>
        <w:rPr/>
      </w:pPr>
      <w:r>
        <w:rPr/>
        <w:t>Full – Not Available to Competitive Duty Personnel)</w:t>
      </w:r>
    </w:p>
    <w:p>
      <w:pPr>
        <w:pStyle w:val="BodyTextIndent2"/>
        <w:numPr>
          <w:ilvl w:val="0"/>
          <w:numId w:val="14"/>
        </w:numPr>
        <w:tabs>
          <w:tab w:val="clear" w:pos="720"/>
          <w:tab w:val="left" w:pos="1800" w:leader="none"/>
        </w:tabs>
        <w:spacing w:lineRule="auto" w:line="480"/>
        <w:ind w:hanging="360" w:start="1800" w:end="0"/>
        <w:jc w:val="start"/>
        <w:rPr/>
      </w:pPr>
      <w:r>
        <w:rPr/>
        <w:t xml:space="preserve">DME-16: </w:t>
        <w:tab/>
        <w:t xml:space="preserve">October 10, 2001 Letter from AES to Williams </w:t>
      </w:r>
    </w:p>
    <w:p>
      <w:pPr>
        <w:pStyle w:val="BodyTextIndent2"/>
        <w:spacing w:lineRule="auto" w:line="480"/>
        <w:ind w:hanging="0" w:start="2880" w:end="0"/>
        <w:jc w:val="start"/>
        <w:rPr/>
      </w:pPr>
      <w:r>
        <w:rPr/>
        <w:t>(Confidential and Protected in Full – Not Available to Competitive Duty Personnel)</w:t>
      </w:r>
    </w:p>
    <w:p>
      <w:pPr>
        <w:pStyle w:val="BodyTextIndent2"/>
        <w:numPr>
          <w:ilvl w:val="0"/>
          <w:numId w:val="12"/>
        </w:numPr>
        <w:tabs>
          <w:tab w:val="clear" w:pos="720"/>
          <w:tab w:val="left" w:pos="1800" w:leader="none"/>
        </w:tabs>
        <w:spacing w:lineRule="auto" w:line="480"/>
        <w:ind w:hanging="360" w:start="1800" w:end="0"/>
        <w:jc w:val="start"/>
        <w:rPr/>
      </w:pPr>
      <w:r>
        <w:rPr/>
        <w:t xml:space="preserve">DME-17: </w:t>
        <w:tab/>
        <w:t xml:space="preserve">NOx Allocation Spreadsheets (Confidential and Protected </w:t>
      </w:r>
    </w:p>
    <w:p>
      <w:pPr>
        <w:pStyle w:val="BodyTextIndent2"/>
        <w:spacing w:lineRule="auto" w:line="480"/>
        <w:ind w:start="2160" w:end="0"/>
        <w:jc w:val="start"/>
        <w:rPr/>
      </w:pPr>
      <w:r>
        <w:rPr/>
        <w:t>in Full – Not Available to Competitive Duty Personnel)</w:t>
      </w:r>
    </w:p>
    <w:p>
      <w:pPr>
        <w:pStyle w:val="BodyTextIndent2"/>
        <w:spacing w:lineRule="auto" w:line="480"/>
        <w:ind w:start="2160" w:end="0"/>
        <w:jc w:val="start"/>
        <w:rPr/>
      </w:pPr>
      <w:r>
        <w:rPr/>
      </w:r>
    </w:p>
    <w:p>
      <w:pPr>
        <w:pStyle w:val="Normal"/>
        <w:widowControl/>
        <w:ind w:firstLine="720" w:start="3600" w:end="0"/>
        <w:rPr>
          <w:sz w:val="24"/>
        </w:rPr>
      </w:pPr>
      <w:r>
        <w:rPr>
          <w:sz w:val="24"/>
        </w:rPr>
        <w:t>Respectfully submitted,</w:t>
      </w:r>
    </w:p>
    <w:p>
      <w:pPr>
        <w:pStyle w:val="Normal"/>
        <w:widowControl/>
        <w:rPr>
          <w:sz w:val="24"/>
        </w:rPr>
      </w:pPr>
      <w:r>
        <w:rPr>
          <w:sz w:val="24"/>
        </w:rPr>
        <w:tab/>
        <w:tab/>
        <w:tab/>
        <w:tab/>
        <w:tab/>
        <w:tab/>
        <w:t xml:space="preserve">WILLIAMS ENERGY MARKETING &amp; </w:t>
      </w:r>
    </w:p>
    <w:p>
      <w:pPr>
        <w:pStyle w:val="Heading5"/>
        <w:rPr/>
      </w:pPr>
      <w:r>
        <w:rPr/>
        <w:t>TRADING COMPANY</w:t>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tab/>
        <w:tab/>
        <w:tab/>
        <w:tab/>
        <w:tab/>
        <w:t xml:space="preserve">By: </w:t>
      </w:r>
      <w:r>
        <w:rPr>
          <w:sz w:val="24"/>
          <w:u w:val="single"/>
        </w:rPr>
        <w:t xml:space="preserve">     ______________________________                                          </w:t>
      </w:r>
    </w:p>
    <w:p>
      <w:pPr>
        <w:pStyle w:val="Normal"/>
        <w:widowControl/>
        <w:rPr>
          <w:sz w:val="24"/>
        </w:rPr>
      </w:pPr>
      <w:r>
        <w:rPr>
          <w:sz w:val="24"/>
        </w:rPr>
        <w:tab/>
        <w:tab/>
        <w:tab/>
        <w:tab/>
        <w:tab/>
        <w:tab/>
        <w:t>Alex A. Goldberg</w:t>
      </w:r>
    </w:p>
    <w:p>
      <w:pPr>
        <w:pStyle w:val="Normal"/>
        <w:widowControl/>
        <w:rPr>
          <w:sz w:val="24"/>
        </w:rPr>
      </w:pPr>
      <w:r>
        <w:rPr>
          <w:sz w:val="24"/>
        </w:rPr>
        <w:tab/>
        <w:tab/>
        <w:tab/>
        <w:tab/>
        <w:tab/>
        <w:t xml:space="preserve">    </w:t>
        <w:tab/>
        <w:t>John C. Gammie</w:t>
      </w:r>
    </w:p>
    <w:p>
      <w:pPr>
        <w:pStyle w:val="Normal"/>
        <w:widowControl/>
        <w:ind w:firstLine="720" w:start="3600" w:end="0"/>
        <w:rPr>
          <w:sz w:val="24"/>
        </w:rPr>
      </w:pPr>
      <w:r>
        <w:rPr>
          <w:rFonts w:cs="Times New Roman" w:ascii="Times New Roman" w:hAnsi="Times New Roman"/>
          <w:sz w:val="24"/>
        </w:rPr>
        <w:t>Amy L. Sheridan</w:t>
      </w:r>
    </w:p>
    <w:p>
      <w:pPr>
        <w:pStyle w:val="Normal"/>
        <w:widowControl/>
        <w:rPr>
          <w:sz w:val="24"/>
        </w:rPr>
      </w:pPr>
      <w:r>
        <w:rPr>
          <w:sz w:val="24"/>
        </w:rPr>
        <w:tab/>
        <w:tab/>
        <w:tab/>
        <w:tab/>
        <w:tab/>
        <w:tab/>
        <w:t>Tim W. Muller</w:t>
      </w:r>
    </w:p>
    <w:p>
      <w:pPr>
        <w:pStyle w:val="Normal"/>
        <w:widowControl/>
        <w:rPr>
          <w:sz w:val="24"/>
        </w:rPr>
      </w:pPr>
      <w:r>
        <w:rPr>
          <w:sz w:val="24"/>
        </w:rPr>
        <w:tab/>
        <w:tab/>
        <w:tab/>
        <w:tab/>
        <w:tab/>
        <w:tab/>
        <w:t>THE WILLIAMS COMPANIES, INC.</w:t>
      </w:r>
    </w:p>
    <w:p>
      <w:pPr>
        <w:pStyle w:val="Normal"/>
        <w:widowControl/>
        <w:rPr>
          <w:sz w:val="24"/>
        </w:rPr>
      </w:pPr>
      <w:r>
        <w:rPr>
          <w:sz w:val="24"/>
        </w:rPr>
        <w:tab/>
        <w:tab/>
        <w:tab/>
        <w:tab/>
        <w:tab/>
        <w:tab/>
        <w:t>One Williams Center</w:t>
      </w:r>
    </w:p>
    <w:p>
      <w:pPr>
        <w:pStyle w:val="Normal"/>
        <w:widowControl/>
        <w:rPr>
          <w:sz w:val="24"/>
        </w:rPr>
      </w:pPr>
      <w:r>
        <w:rPr>
          <w:sz w:val="24"/>
        </w:rPr>
        <w:tab/>
        <w:tab/>
        <w:tab/>
        <w:tab/>
        <w:tab/>
        <w:tab/>
        <w:t>Suite 4100, MS 41-3</w:t>
      </w:r>
    </w:p>
    <w:p>
      <w:pPr>
        <w:pStyle w:val="Normal"/>
        <w:widowControl/>
        <w:rPr>
          <w:sz w:val="24"/>
        </w:rPr>
      </w:pPr>
      <w:r>
        <w:rPr>
          <w:sz w:val="24"/>
        </w:rPr>
        <w:tab/>
        <w:tab/>
        <w:tab/>
        <w:tab/>
        <w:tab/>
        <w:tab/>
        <w:t>Tulsa, Oklahoma 74172</w:t>
      </w:r>
    </w:p>
    <w:p>
      <w:pPr>
        <w:pStyle w:val="Normal"/>
        <w:widowControl/>
        <w:rPr>
          <w:sz w:val="24"/>
        </w:rPr>
      </w:pPr>
      <w:r>
        <w:rPr>
          <w:sz w:val="24"/>
        </w:rPr>
        <w:tab/>
        <w:tab/>
        <w:tab/>
        <w:tab/>
        <w:tab/>
        <w:tab/>
        <w:t>Telephone: (918) 573-3901</w:t>
      </w:r>
    </w:p>
    <w:p>
      <w:pPr>
        <w:pStyle w:val="Normal"/>
        <w:widowControl/>
        <w:rPr>
          <w:sz w:val="24"/>
        </w:rPr>
      </w:pPr>
      <w:r>
        <w:rPr>
          <w:sz w:val="24"/>
        </w:rPr>
        <w:tab/>
        <w:tab/>
        <w:tab/>
        <w:tab/>
        <w:tab/>
        <w:tab/>
        <w:t>Facsimile: (918) 573-6928</w:t>
        <w:tab/>
      </w:r>
    </w:p>
    <w:p>
      <w:pPr>
        <w:pStyle w:val="Normal"/>
        <w:widowControl/>
        <w:rPr>
          <w:sz w:val="24"/>
        </w:rPr>
      </w:pPr>
      <w:r>
        <w:rPr>
          <w:sz w:val="24"/>
        </w:rPr>
        <w:tab/>
        <w:tab/>
        <w:tab/>
        <w:tab/>
        <w:tab/>
        <w:tab/>
        <w:tab/>
      </w:r>
    </w:p>
    <w:p>
      <w:pPr>
        <w:pStyle w:val="BodyText"/>
        <w:jc w:val="start"/>
        <w:rPr>
          <w:sz w:val="24"/>
        </w:rPr>
      </w:pPr>
      <w:r>
        <w:rPr>
          <w:sz w:val="24"/>
        </w:rPr>
      </w:r>
    </w:p>
    <w:p>
      <w:pPr>
        <w:pStyle w:val="BodyTextIndent2"/>
        <w:spacing w:lineRule="auto" w:line="480"/>
        <w:ind w:hanging="0" w:end="0"/>
        <w:jc w:val="start"/>
        <w:rPr/>
      </w:pPr>
      <w:r>
        <w:rPr/>
        <w:t>Dated: November 21, 2001</w:t>
      </w:r>
      <w:r>
        <w:br w:type="page"/>
      </w:r>
    </w:p>
    <w:p>
      <w:pPr>
        <w:pStyle w:val="BodyText"/>
        <w:jc w:val="center"/>
        <w:rPr>
          <w:rFonts w:ascii="Times New Roman" w:hAnsi="Times New Roman" w:cs="Times New Roman"/>
          <w:b/>
          <w:u w:val="single"/>
        </w:rPr>
      </w:pPr>
      <w:r>
        <w:rPr>
          <w:rFonts w:cs="Times New Roman" w:ascii="Times New Roman" w:hAnsi="Times New Roman"/>
          <w:b/>
          <w:u w:val="single"/>
        </w:rPr>
        <w:t>CERTIFICATE OF SERVICE</w:t>
      </w:r>
    </w:p>
    <w:p>
      <w:pPr>
        <w:pStyle w:val="BodyText2"/>
        <w:ind w:firstLine="720" w:end="0"/>
        <w:rPr/>
      </w:pPr>
      <w:r>
        <w:rPr>
          <w:rFonts w:cs="Times New Roman" w:ascii="Times New Roman" w:hAnsi="Times New Roman"/>
        </w:rPr>
        <w:t>I, Tim W. Muller, hereby certify that I have on this 21</w:t>
      </w:r>
      <w:r>
        <w:rPr>
          <w:rFonts w:cs="Times New Roman" w:ascii="Times New Roman" w:hAnsi="Times New Roman"/>
          <w:vertAlign w:val="superscript"/>
        </w:rPr>
        <w:t>st</w:t>
      </w:r>
      <w:r>
        <w:rPr>
          <w:rFonts w:cs="Times New Roman" w:ascii="Times New Roman" w:hAnsi="Times New Roman"/>
        </w:rPr>
        <w:t xml:space="preserve"> day of November, 2001, served copies of the foregoing document upon each person designated on the restricted service list compiled by the Presiding Judge in this proceeding, via e-mail to the listserv established in these proceedings. </w:t>
      </w:r>
    </w:p>
    <w:p>
      <w:pPr>
        <w:pStyle w:val="BodyText2"/>
        <w:rPr>
          <w:rFonts w:ascii="Times New Roman" w:hAnsi="Times New Roman" w:cs="Times New Roman"/>
        </w:rPr>
      </w:pPr>
      <w:r>
        <w:rPr>
          <w:rFonts w:cs="Times New Roman" w:ascii="Times New Roman" w:hAnsi="Times New Roman"/>
        </w:rPr>
      </w:r>
    </w:p>
    <w:p>
      <w:pPr>
        <w:pStyle w:val="BodyText2"/>
        <w:rPr>
          <w:rFonts w:ascii="Times New Roman" w:hAnsi="Times New Roman" w:cs="Times New Roman"/>
        </w:rPr>
      </w:pPr>
      <w:r>
        <w:rPr>
          <w:rFonts w:cs="Times New Roman" w:ascii="Times New Roman" w:hAnsi="Times New Roman"/>
        </w:rPr>
      </w:r>
    </w:p>
    <w:p>
      <w:pPr>
        <w:pStyle w:val="BodyText2"/>
        <w:spacing w:lineRule="auto" w:line="240"/>
        <w:ind w:start="5760" w:end="0"/>
        <w:rPr>
          <w:rFonts w:ascii="Times New Roman" w:hAnsi="Times New Roman" w:cs="Times New Roman"/>
        </w:rPr>
      </w:pPr>
      <w:r>
        <w:rPr>
          <w:rFonts w:cs="Times New Roman" w:ascii="Times New Roman" w:hAnsi="Times New Roman"/>
        </w:rPr>
        <w:t>______________________</w:t>
      </w:r>
    </w:p>
    <w:p>
      <w:pPr>
        <w:pStyle w:val="BodyText2"/>
        <w:spacing w:lineRule="auto" w:line="240"/>
        <w:ind w:firstLine="720" w:start="5040" w:end="0"/>
        <w:jc w:val="start"/>
        <w:rPr/>
      </w:pPr>
      <w:r>
        <w:rPr/>
        <w:t>Tim W. Muller</w:t>
      </w:r>
    </w:p>
    <w:sectPr>
      <w:footerReference w:type="default" r:id="rId2"/>
      <w:footerReference w:type="first" r:id="rId3"/>
      <w:type w:val="nextPage"/>
      <w:pgSz w:w="12240" w:h="15840"/>
      <w:pgMar w:left="2160" w:right="1440" w:gutter="0" w:header="0" w:top="1440" w:footer="1008"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variable"/>
  </w:font>
  <w:font w:name="Tahoma">
    <w:charset w:val="00" w:characterSet="windows-1252"/>
    <w:family w:val="swiss"/>
    <w:pitch w:val="variable"/>
  </w:font>
  <w:font w:name="Galliard">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ind w:end="360"/>
      <w:rPr>
        <w:sz w:val="24"/>
      </w:rPr>
    </w:pPr>
    <w:r>
      <w:rPr>
        <w:sz w:val="24"/>
      </w:rPr>
    </w:r>
    <w:r>
      <mc:AlternateContent>
        <mc:Choice Requires="wps">
          <w:drawing>
            <wp:anchor behindDoc="0" distT="0" distB="0" distL="0" distR="0" simplePos="0" locked="0" layoutInCell="0" allowOverlap="1" relativeHeight="6">
              <wp:simplePos x="0" y="0"/>
              <wp:positionH relativeFrom="margin">
                <wp:align>right</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26.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start"/>
      <w:pPr>
        <w:tabs>
          <w:tab w:val="num" w:pos="720"/>
        </w:tabs>
        <w:ind w:start="720" w:hanging="720"/>
      </w:pPr>
      <w:rPr>
        <w:u w:val="none"/>
      </w:rPr>
    </w:lvl>
    <w:lvl w:ilvl="1">
      <w:start w:val="1"/>
      <w:numFmt w:val="upperLetter"/>
      <w:lvlText w:val="%2."/>
      <w:lvlJc w:val="start"/>
      <w:pPr>
        <w:tabs>
          <w:tab w:val="num" w:pos="1440"/>
        </w:tabs>
        <w:ind w:start="1440" w:hanging="720"/>
      </w:pPr>
      <w:rPr>
        <w:u w:val="none"/>
      </w:rPr>
    </w:lvl>
    <w:lvl w:ilvl="2">
      <w:start w:val="1"/>
      <w:numFmt w:val="decimal"/>
      <w:lvlText w:val="%3."/>
      <w:lvlJc w:val="start"/>
      <w:pPr>
        <w:tabs>
          <w:tab w:val="num" w:pos="2160"/>
        </w:tabs>
        <w:ind w:start="2160" w:hanging="720"/>
      </w:pPr>
    </w:lvl>
    <w:lvl w:ilvl="3">
      <w:start w:val="1"/>
      <w:numFmt w:val="lowerLetter"/>
      <w:lvlText w:val="%4."/>
      <w:lvlJc w:val="start"/>
      <w:pPr>
        <w:tabs>
          <w:tab w:val="num" w:pos="2880"/>
        </w:tabs>
        <w:ind w:start="2880" w:hanging="720"/>
      </w:pPr>
    </w:lvl>
    <w:lvl w:ilvl="4">
      <w:start w:val="1"/>
      <w:numFmt w:val="lowerRoman"/>
      <w:lvlText w:val="(%5)"/>
      <w:lvlJc w:val="start"/>
      <w:pPr>
        <w:tabs>
          <w:tab w:val="num" w:pos="3600"/>
        </w:tabs>
        <w:ind w:start="3600" w:hanging="720"/>
      </w:pPr>
    </w:lvl>
    <w:lvl w:ilvl="5">
      <w:start w:val="1"/>
      <w:numFmt w:val="lowerLetter"/>
      <w:lvlText w:val="(%6)"/>
      <w:lvlJc w:val="start"/>
      <w:pPr>
        <w:tabs>
          <w:tab w:val="num" w:pos="4320"/>
        </w:tabs>
        <w:ind w:start="4320" w:hanging="720"/>
      </w:pPr>
    </w:lvl>
    <w:lvl w:ilvl="6">
      <w:start w:val="1"/>
      <w:numFmt w:val="lowerRoman"/>
      <w:lvlText w:val="%7)"/>
      <w:lvlJc w:val="start"/>
      <w:pPr>
        <w:tabs>
          <w:tab w:val="num" w:pos="5040"/>
        </w:tabs>
        <w:ind w:start="5040" w:hanging="720"/>
      </w:pPr>
    </w:lvl>
    <w:lvl w:ilvl="7">
      <w:start w:val="1"/>
      <w:numFmt w:val="lowerLetter"/>
      <w:lvlText w:val="%8)"/>
      <w:lvlJc w:val="start"/>
      <w:pPr>
        <w:tabs>
          <w:tab w:val="num" w:pos="5760"/>
        </w:tabs>
        <w:ind w:start="5760" w:hanging="720"/>
      </w:pPr>
    </w:lvl>
    <w:lvl w:ilvl="8">
      <w:start w:val="1"/>
      <w:pStyle w:val="Heading9"/>
      <w:numFmt w:val="lowerRoman"/>
      <w:lvlText w:val="%9."/>
      <w:lvlJc w:val="start"/>
      <w:pPr>
        <w:tabs>
          <w:tab w:val="num" w:pos="6480"/>
        </w:tabs>
        <w:ind w:start="6480" w:hanging="72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G Times;Times New Roman" w:hAnsi="CG Times;Times New Roman" w:eastAsia="Times New Roman" w:cs="CG Times;Times New Roman"/>
      <w:color w:val="auto"/>
      <w:sz w:val="20"/>
      <w:szCs w:val="20"/>
      <w:lang w:val="en-US" w:eastAsia="en-US" w:bidi="hi-IN"/>
    </w:rPr>
  </w:style>
  <w:style w:type="paragraph" w:styleId="Heading1">
    <w:name w:val="heading 1"/>
    <w:basedOn w:val="Normal"/>
    <w:next w:val="Normal"/>
    <w:qFormat/>
    <w:pPr>
      <w:keepNext w:val="true"/>
      <w:widowControl/>
      <w:outlineLvl w:val="0"/>
    </w:pPr>
    <w:rPr>
      <w:sz w:val="24"/>
    </w:rPr>
  </w:style>
  <w:style w:type="paragraph" w:styleId="Heading2">
    <w:name w:val="heading 2"/>
    <w:basedOn w:val="Normal"/>
    <w:next w:val="Normal"/>
    <w:qFormat/>
    <w:pPr>
      <w:keepNext w:val="true"/>
      <w:widowControl/>
      <w:jc w:val="both"/>
      <w:outlineLvl w:val="1"/>
    </w:pPr>
    <w:rPr>
      <w:sz w:val="24"/>
    </w:rPr>
  </w:style>
  <w:style w:type="paragraph" w:styleId="Heading3">
    <w:name w:val="heading 3"/>
    <w:basedOn w:val="Normal"/>
    <w:next w:val="Normal"/>
    <w:qFormat/>
    <w:pPr>
      <w:keepNext w:val="true"/>
      <w:jc w:val="center"/>
      <w:outlineLvl w:val="2"/>
    </w:pPr>
    <w:rPr>
      <w:sz w:val="24"/>
    </w:rPr>
  </w:style>
  <w:style w:type="paragraph" w:styleId="Heading4">
    <w:name w:val="heading 4"/>
    <w:basedOn w:val="Normal"/>
    <w:next w:val="Normal"/>
    <w:qFormat/>
    <w:pPr>
      <w:keepNext w:val="true"/>
      <w:widowControl/>
      <w:outlineLvl w:val="3"/>
    </w:pPr>
    <w:rPr>
      <w:b/>
      <w:sz w:val="24"/>
    </w:rPr>
  </w:style>
  <w:style w:type="paragraph" w:styleId="Heading5">
    <w:name w:val="heading 5"/>
    <w:basedOn w:val="Normal"/>
    <w:next w:val="Normal"/>
    <w:qFormat/>
    <w:pPr>
      <w:keepNext w:val="true"/>
      <w:widowControl/>
      <w:ind w:firstLine="720" w:start="3600" w:end="0"/>
      <w:outlineLvl w:val="4"/>
    </w:pPr>
    <w:rPr>
      <w:sz w:val="24"/>
    </w:rPr>
  </w:style>
  <w:style w:type="paragraph" w:styleId="Heading6">
    <w:name w:val="heading 6"/>
    <w:basedOn w:val="Normal"/>
    <w:next w:val="Normal"/>
    <w:qFormat/>
    <w:pPr>
      <w:keepNext w:val="true"/>
      <w:widowControl/>
      <w:jc w:val="center"/>
      <w:outlineLvl w:val="5"/>
    </w:pPr>
    <w:rPr>
      <w:b/>
      <w:sz w:val="24"/>
    </w:rPr>
  </w:style>
  <w:style w:type="paragraph" w:styleId="Heading7">
    <w:name w:val="heading 7"/>
    <w:basedOn w:val="Normal"/>
    <w:next w:val="Normal"/>
    <w:qFormat/>
    <w:pPr>
      <w:keepNext w:val="true"/>
      <w:spacing w:lineRule="auto" w:line="480"/>
      <w:jc w:val="center"/>
      <w:outlineLvl w:val="6"/>
    </w:pPr>
    <w:rPr>
      <w:b/>
      <w:sz w:val="24"/>
      <w:u w:val="single"/>
    </w:rPr>
  </w:style>
  <w:style w:type="paragraph" w:styleId="Heading8">
    <w:name w:val="heading 8"/>
    <w:basedOn w:val="Normal"/>
    <w:next w:val="Normal"/>
    <w:qFormat/>
    <w:pPr>
      <w:keepNext w:val="true"/>
      <w:spacing w:lineRule="auto" w:line="480"/>
      <w:ind w:firstLine="720" w:start="0" w:end="0"/>
      <w:jc w:val="both"/>
      <w:outlineLvl w:val="7"/>
    </w:pPr>
    <w:rPr>
      <w:b/>
      <w:sz w:val="24"/>
    </w:rPr>
  </w:style>
  <w:style w:type="paragraph" w:styleId="Heading9">
    <w:name w:val="heading 9"/>
    <w:basedOn w:val="Heading8"/>
    <w:next w:val="BodyText"/>
    <w:qFormat/>
    <w:pPr>
      <w:keepNext w:val="false"/>
      <w:keepLines/>
      <w:widowControl/>
      <w:numPr>
        <w:ilvl w:val="8"/>
        <w:numId w:val="1"/>
      </w:numPr>
      <w:spacing w:lineRule="auto" w:line="240" w:before="0" w:after="240"/>
      <w:jc w:val="start"/>
      <w:outlineLvl w:val="8"/>
    </w:pPr>
    <w:rPr>
      <w:rFonts w:ascii="Times New Roman" w:hAnsi="Times New Roman" w:cs="Times New Roman"/>
      <w:b w:val="false"/>
      <w:kern w:val="2"/>
      <w:sz w:val="26"/>
    </w:rPr>
  </w:style>
  <w:style w:type="character" w:styleId="WW8Num1z0">
    <w:name w:val="WW8Num1z0"/>
    <w:qFormat/>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style>
  <w:style w:type="character" w:styleId="WW8Num6z0">
    <w:name w:val="WW8Num6z0"/>
    <w:qFormat/>
    <w:rPr>
      <w:rFonts w:ascii="Symbol" w:hAnsi="Symbol" w:cs="Symbol"/>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style>
  <w:style w:type="character" w:styleId="WW8Num17z0">
    <w:name w:val="WW8Num17z0"/>
    <w:qFormat/>
    <w:rPr>
      <w:rFonts w:ascii="Symbol" w:hAnsi="Symbol" w:cs="Symbol"/>
    </w:rPr>
  </w:style>
  <w:style w:type="character" w:styleId="WW8Num18z0">
    <w:name w:val="WW8Num18z0"/>
    <w:qFormat/>
    <w:rPr>
      <w:u w:val="none"/>
    </w:rPr>
  </w:style>
  <w:style w:type="character" w:styleId="WW8Num19z0">
    <w:name w:val="WW8Num19z0"/>
    <w:qFormat/>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style>
  <w:style w:type="character" w:styleId="WW8Num23z0">
    <w:name w:val="WW8Num23z0"/>
    <w:qFormat/>
    <w:rPr>
      <w:rFonts w:ascii="CG Times;Times New Roman" w:hAnsi="CG Times;Times New Roman" w:cs="CG Times;Times New Roman"/>
      <w:b/>
      <w:i w:val="false"/>
    </w:rPr>
  </w:style>
  <w:style w:type="character" w:styleId="WW8Num24z0">
    <w:name w:val="WW8Num24z0"/>
    <w:qFormat/>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b/>
    </w:rPr>
  </w:style>
  <w:style w:type="character" w:styleId="WW8Num28z0">
    <w:name w:val="WW8Num28z0"/>
    <w:qFormat/>
    <w:rPr/>
  </w:style>
  <w:style w:type="character" w:styleId="WW8Num29z0">
    <w:name w:val="WW8Num29z0"/>
    <w:qFormat/>
    <w:rPr/>
  </w:style>
  <w:style w:type="character" w:styleId="WW8Num30z0">
    <w:name w:val="WW8Num30z0"/>
    <w:qFormat/>
    <w:rPr>
      <w:rFonts w:ascii="Symbol" w:hAnsi="Symbol" w:cs="Symbol"/>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rFonts w:ascii="Symbol" w:hAnsi="Symbol" w:cs="Symbol"/>
    </w:rPr>
  </w:style>
  <w:style w:type="character" w:styleId="WW8Num35z0">
    <w:name w:val="WW8Num35z0"/>
    <w:qFormat/>
    <w:rPr>
      <w:rFonts w:ascii="Times New Roman" w:hAnsi="Times New Roman" w:cs="Times New Roman"/>
      <w:b/>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style>
  <w:style w:type="character" w:styleId="WW8Num39z0">
    <w:name w:val="WW8Num39z0"/>
    <w:qFormat/>
    <w:rPr/>
  </w:style>
  <w:style w:type="character" w:styleId="WW8Num40z0">
    <w:name w:val="WW8Num40z0"/>
    <w:qFormat/>
    <w:rPr>
      <w:u w:val="none"/>
    </w:rPr>
  </w:style>
  <w:style w:type="character" w:styleId="WW8Num41z0">
    <w:name w:val="WW8Num41z0"/>
    <w:qFormat/>
    <w:rPr/>
  </w:style>
  <w:style w:type="character" w:styleId="DefaultParagraphFont">
    <w:name w:val="Default Paragraph Font"/>
    <w:qFormat/>
    <w:rPr/>
  </w:style>
  <w:style w:type="character" w:styleId="PageNumber">
    <w:name w:val="page number"/>
    <w:basedOn w:val="DefaultParagraphFont"/>
    <w:rPr/>
  </w:style>
  <w:style w:type="character" w:styleId="footnoteref">
    <w:name w:val="footnote ref"/>
    <w:qFormat/>
    <w:rPr/>
  </w:style>
  <w:style w:type="character" w:styleId="DefaultPara">
    <w:name w:val="Default Para"/>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Emphasis">
    <w:name w:val="Emphasis"/>
    <w:basedOn w:val="DefaultParagraphFont"/>
    <w:qFormat/>
    <w:rPr>
      <w:i/>
    </w:rPr>
  </w:style>
  <w:style w:type="paragraph" w:styleId="Heading">
    <w:name w:val="Heading"/>
    <w:basedOn w:val="Normal"/>
    <w:next w:val="BodyText"/>
    <w:qFormat/>
    <w:pPr>
      <w:widowControl/>
      <w:jc w:val="center"/>
    </w:pPr>
    <w:rPr>
      <w:b/>
      <w:sz w:val="24"/>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left" w:pos="0" w:leader="none"/>
        <w:tab w:val="center" w:pos="4320" w:leader="none"/>
        <w:tab w:val="right" w:pos="8640" w:leader="none"/>
      </w:tabs>
    </w:pPr>
    <w:rPr/>
  </w:style>
  <w:style w:type="paragraph" w:styleId="footnotetex">
    <w:name w:val="footnote tex"/>
    <w:qFormat/>
    <w:pPr>
      <w:widowControl w:val="false"/>
      <w:bidi w:val="0"/>
    </w:pPr>
    <w:rPr>
      <w:rFonts w:ascii="CG Times;Times New Roman" w:hAnsi="CG Times;Times New Roman" w:eastAsia="Times New Roman" w:cs="CG Times;Times New Roman"/>
      <w:color w:val="auto"/>
      <w:sz w:val="20"/>
      <w:szCs w:val="20"/>
      <w:lang w:val="en-US" w:eastAsia="en-US" w:bidi="hi-IN"/>
    </w:rPr>
  </w:style>
  <w:style w:type="paragraph" w:styleId="BodyText2">
    <w:name w:val="Body Text 2"/>
    <w:basedOn w:val="Normal"/>
    <w:qFormat/>
    <w:pPr>
      <w:widowControl/>
      <w:spacing w:lineRule="atLeast" w:line="480"/>
      <w:jc w:val="both"/>
    </w:pPr>
    <w:rPr>
      <w:sz w:val="24"/>
    </w:rPr>
  </w:style>
  <w:style w:type="paragraph" w:styleId="BodyTextIndent">
    <w:name w:val="Body Text Indent"/>
    <w:basedOn w:val="Normal"/>
    <w:pPr>
      <w:widowControl/>
      <w:tabs>
        <w:tab w:val="left" w:pos="720" w:leader="none"/>
      </w:tabs>
      <w:ind w:hanging="720" w:start="720" w:end="0"/>
      <w:jc w:val="both"/>
    </w:pPr>
    <w:rPr>
      <w:b/>
      <w:sz w:val="24"/>
    </w:rPr>
  </w:style>
  <w:style w:type="paragraph" w:styleId="Header">
    <w:name w:val="header"/>
    <w:basedOn w:val="Normal"/>
    <w:pPr>
      <w:tabs>
        <w:tab w:val="clear" w:pos="720"/>
        <w:tab w:val="center" w:pos="4320" w:leader="none"/>
        <w:tab w:val="right" w:pos="8640" w:leader="none"/>
      </w:tabs>
    </w:pPr>
    <w:rPr/>
  </w:style>
  <w:style w:type="paragraph" w:styleId="BodyTextIndent2">
    <w:name w:val="Body Text Indent 2"/>
    <w:basedOn w:val="Normal"/>
    <w:qFormat/>
    <w:pPr>
      <w:widowControl/>
      <w:spacing w:lineRule="atLeast" w:line="480"/>
      <w:ind w:firstLine="720" w:start="0" w:end="0"/>
      <w:jc w:val="both"/>
    </w:pPr>
    <w:rPr>
      <w:sz w:val="24"/>
    </w:rPr>
  </w:style>
  <w:style w:type="paragraph" w:styleId="BodyText3">
    <w:name w:val="Body Text 3"/>
    <w:basedOn w:val="Normal"/>
    <w:qFormat/>
    <w:pPr>
      <w:widowControl/>
      <w:spacing w:lineRule="auto" w:line="480"/>
    </w:pPr>
    <w:rPr>
      <w:sz w:val="24"/>
    </w:rPr>
  </w:style>
  <w:style w:type="paragraph" w:styleId="DocumentMap">
    <w:name w:val="Document Map"/>
    <w:basedOn w:val="Normal"/>
    <w:qFormat/>
    <w:pPr>
      <w:shd w:fill="000080" w:val="clear"/>
    </w:pPr>
    <w:rPr>
      <w:rFonts w:ascii="Tahoma" w:hAnsi="Tahoma" w:cs="Tahoma"/>
    </w:rPr>
  </w:style>
  <w:style w:type="paragraph" w:styleId="FootnoteText">
    <w:name w:val="footnote text"/>
    <w:basedOn w:val="Normal"/>
    <w:pPr/>
    <w:rPr/>
  </w:style>
  <w:style w:type="paragraph" w:styleId="BlockText">
    <w:name w:val="Block Text"/>
    <w:basedOn w:val="Normal"/>
    <w:qFormat/>
    <w:pPr>
      <w:widowControl/>
      <w:ind w:hanging="0" w:start="720" w:end="720"/>
      <w:jc w:val="both"/>
    </w:pPr>
    <w:rPr>
      <w:sz w:val="24"/>
    </w:rPr>
  </w:style>
  <w:style w:type="paragraph" w:styleId="ListBullet2">
    <w:name w:val="List Bullet 2"/>
    <w:basedOn w:val="Normal"/>
    <w:pPr>
      <w:ind w:hanging="360" w:start="720" w:end="0"/>
    </w:pPr>
    <w:rPr/>
  </w:style>
  <w:style w:type="paragraph" w:styleId="Closing">
    <w:name w:val="Closing"/>
    <w:basedOn w:val="Normal"/>
    <w:qFormat/>
    <w:pPr>
      <w:ind w:hanging="0" w:start="4320" w:end="0"/>
    </w:pPr>
    <w:rPr/>
  </w:style>
  <w:style w:type="paragraph" w:styleId="BodyTextIndent3">
    <w:name w:val="Body Text Indent 3"/>
    <w:basedOn w:val="Normal"/>
    <w:qFormat/>
    <w:pPr>
      <w:spacing w:lineRule="auto" w:line="480"/>
      <w:ind w:firstLine="720" w:start="0" w:end="0"/>
    </w:pPr>
    <w:rPr>
      <w:b/>
      <w:sz w:val="24"/>
    </w:rPr>
  </w:style>
  <w:style w:type="paragraph" w:styleId="BodyTextStyle">
    <w:name w:val="Body Text Style"/>
    <w:basedOn w:val="Normal"/>
    <w:qFormat/>
    <w:pPr>
      <w:widowControl/>
      <w:spacing w:lineRule="exact" w:line="520"/>
      <w:ind w:firstLine="1080" w:start="0" w:end="0"/>
    </w:pPr>
    <w:rPr>
      <w:rFonts w:ascii="Galliard" w:hAnsi="Galliard" w:cs="Galliard"/>
      <w:sz w:val="24"/>
      <w:lang w:eastAsia="en-CA"/>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2001-11-20T13:05:00Z</dcterms:created>
  <dc:creator>Lynn McConnell</dc:creator>
  <dc:description/>
  <dc:language>en-CA</dc:language>
  <cp:lastModifiedBy>tmuller</cp:lastModifiedBy>
  <cp:lastPrinted>2001-11-20T17:20:00Z</cp:lastPrinted>
  <dcterms:modified xsi:type="dcterms:W3CDTF">2001-11-20T21:02:00Z</dcterms:modified>
  <cp:revision>50</cp:revision>
  <dc:subject/>
  <dc:title>UNITED STATES OF AMERICA</dc:title>
</cp:coreProperties>
</file>