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widowControl/>
        <w:jc w:val="center"/>
        <w:rPr/>
      </w:pPr>
      <w:r>
        <w:rPr/>
        <w:t>UNITED STATES OF AMERICA</w:t>
      </w:r>
    </w:p>
    <w:p>
      <w:pPr>
        <w:pStyle w:val="Normal"/>
        <w:widowControl/>
        <w:jc w:val="center"/>
        <w:rPr/>
      </w:pPr>
      <w:r>
        <w:rPr/>
        <w:t>U.S. DEPARTMENT OF ENERGY</w:t>
      </w:r>
    </w:p>
    <w:p>
      <w:pPr>
        <w:pStyle w:val="Normal"/>
        <w:widowControl/>
        <w:jc w:val="center"/>
        <w:rPr/>
      </w:pPr>
      <w:r>
        <w:rPr/>
        <w:t>BEFORE THE</w:t>
      </w:r>
    </w:p>
    <w:p>
      <w:pPr>
        <w:pStyle w:val="Normal"/>
        <w:widowControl/>
        <w:jc w:val="center"/>
        <w:rPr/>
      </w:pPr>
      <w:r>
        <w:rPr/>
        <w:t>BONNEVILLE POWER ADMINISTRATION</w:t>
      </w:r>
    </w:p>
    <w:p>
      <w:pPr>
        <w:pStyle w:val="Normal"/>
        <w:widowControl/>
        <w:jc w:val="center"/>
        <w:rPr/>
      </w:pPr>
      <w:r>
        <w:rPr/>
      </w:r>
    </w:p>
    <w:p>
      <w:pPr>
        <w:pStyle w:val="Normal"/>
        <w:widowControl/>
        <w:jc w:val="both"/>
        <w:rPr/>
      </w:pPr>
      <w:r>
        <w:rPr/>
      </w:r>
    </w:p>
    <w:tbl>
      <w:tblPr>
        <w:tblW w:w="9576" w:type="dxa"/>
        <w:jc w:val="start"/>
        <w:tblInd w:w="0" w:type="dxa"/>
        <w:tblLayout w:type="fixed"/>
        <w:tblCellMar>
          <w:top w:w="0" w:type="dxa"/>
          <w:start w:w="108" w:type="dxa"/>
          <w:bottom w:w="0" w:type="dxa"/>
          <w:end w:w="108" w:type="dxa"/>
        </w:tblCellMar>
      </w:tblPr>
      <w:tblGrid>
        <w:gridCol w:w="5148"/>
        <w:gridCol w:w="540"/>
        <w:gridCol w:w="3888"/>
      </w:tblGrid>
      <w:tr>
        <w:trPr/>
        <w:tc>
          <w:tcPr>
            <w:tcW w:w="5148" w:type="dxa"/>
            <w:tcBorders/>
          </w:tcPr>
          <w:p>
            <w:pPr>
              <w:pStyle w:val="Normal"/>
              <w:widowControl/>
              <w:jc w:val="both"/>
              <w:rPr/>
            </w:pPr>
            <w:r>
              <w:rPr/>
              <w:t>BPA 2002 Wholesale Power Rate Adjustment</w:t>
            </w:r>
          </w:p>
          <w:p>
            <w:pPr>
              <w:pStyle w:val="Normal"/>
              <w:widowControl/>
              <w:jc w:val="both"/>
              <w:rPr/>
            </w:pPr>
            <w:r>
              <w:rPr/>
              <w:t>Proceeding</w:t>
            </w:r>
          </w:p>
        </w:tc>
        <w:tc>
          <w:tcPr>
            <w:tcW w:w="540" w:type="dxa"/>
            <w:tcBorders/>
          </w:tcPr>
          <w:p>
            <w:pPr>
              <w:pStyle w:val="Normal"/>
              <w:widowControl/>
              <w:jc w:val="both"/>
              <w:rPr/>
            </w:pPr>
            <w:r>
              <w:rPr/>
              <w:t>)</w:t>
            </w:r>
          </w:p>
          <w:p>
            <w:pPr>
              <w:pStyle w:val="Normal"/>
              <w:widowControl/>
              <w:jc w:val="both"/>
              <w:rPr/>
            </w:pPr>
            <w:r>
              <w:rPr/>
              <w:t>)</w:t>
            </w:r>
          </w:p>
          <w:p>
            <w:pPr>
              <w:pStyle w:val="Normal"/>
              <w:widowControl/>
              <w:jc w:val="both"/>
              <w:rPr/>
            </w:pPr>
            <w:r>
              <w:rPr/>
            </w:r>
          </w:p>
        </w:tc>
        <w:tc>
          <w:tcPr>
            <w:tcW w:w="3888" w:type="dxa"/>
            <w:tcBorders/>
          </w:tcPr>
          <w:p>
            <w:pPr>
              <w:pStyle w:val="Normal"/>
              <w:widowControl/>
              <w:jc w:val="both"/>
              <w:rPr/>
            </w:pPr>
            <w:r>
              <w:rPr/>
              <w:t>BPA File No. WP-02</w:t>
            </w:r>
          </w:p>
        </w:tc>
      </w:tr>
    </w:tbl>
    <w:p>
      <w:pPr>
        <w:pStyle w:val="Normal"/>
        <w:widowControl/>
        <w:jc w:val="center"/>
        <w:rPr>
          <w:b/>
        </w:rPr>
      </w:pPr>
      <w:r>
        <w:rPr>
          <w:b/>
        </w:rPr>
      </w:r>
    </w:p>
    <w:p>
      <w:pPr>
        <w:pStyle w:val="Normal"/>
        <w:widowControl/>
        <w:jc w:val="center"/>
        <w:rPr>
          <w:b/>
        </w:rPr>
      </w:pPr>
      <w:r>
        <w:rPr>
          <w:b/>
        </w:rPr>
        <w:t>ANSWER OF THE MARKET ACCESS COALITION</w:t>
      </w:r>
    </w:p>
    <w:p>
      <w:pPr>
        <w:pStyle w:val="Normal"/>
        <w:widowControl/>
        <w:jc w:val="center"/>
        <w:rPr>
          <w:b/>
        </w:rPr>
      </w:pPr>
      <w:r>
        <w:rPr>
          <w:b/>
        </w:rPr>
        <w:t>IN OPPOSITION TO DSI MOTION FOR</w:t>
      </w:r>
    </w:p>
    <w:p>
      <w:pPr>
        <w:pStyle w:val="Normal"/>
        <w:widowControl/>
        <w:jc w:val="center"/>
        <w:rPr>
          <w:b/>
        </w:rPr>
      </w:pPr>
      <w:r>
        <w:rPr>
          <w:b/>
        </w:rPr>
        <w:t>EXTRAORDINARY EVIDENTIARY HEARING CONCERNING</w:t>
      </w:r>
    </w:p>
    <w:p>
      <w:pPr>
        <w:pStyle w:val="Normal"/>
        <w:widowControl/>
        <w:jc w:val="center"/>
        <w:rPr/>
      </w:pPr>
      <w:r>
        <w:rPr>
          <w:b/>
        </w:rPr>
        <w:t xml:space="preserve">ALLEGED </w:t>
      </w:r>
      <w:r>
        <w:rPr>
          <w:b/>
          <w:i/>
        </w:rPr>
        <w:t xml:space="preserve">EX PARTE </w:t>
      </w:r>
      <w:r>
        <w:rPr>
          <w:b/>
        </w:rPr>
        <w:t>COMMUNICATIONS</w:t>
      </w:r>
    </w:p>
    <w:p>
      <w:pPr>
        <w:pStyle w:val="Normal"/>
        <w:widowControl/>
        <w:jc w:val="center"/>
        <w:rPr/>
      </w:pPr>
      <w:r>
        <w:rPr/>
        <w:t>________________________________________________________________</w:t>
      </w:r>
    </w:p>
    <w:p>
      <w:pPr>
        <w:pStyle w:val="Normal"/>
        <w:widowControl/>
        <w:jc w:val="both"/>
        <w:rPr/>
      </w:pPr>
      <w:r>
        <w:rPr/>
      </w:r>
    </w:p>
    <w:p>
      <w:pPr>
        <w:pStyle w:val="Normal"/>
        <w:widowControl/>
        <w:spacing w:lineRule="auto" w:line="480"/>
        <w:ind w:firstLine="720" w:end="0"/>
        <w:jc w:val="both"/>
        <w:rPr/>
      </w:pPr>
      <w:r>
        <w:rPr/>
        <w:t>Pursuant to the Hearing Officer’s order of April 3,</w:t>
      </w:r>
      <w:r>
        <w:rPr>
          <w:vertAlign w:val="superscript"/>
        </w:rPr>
        <w:t xml:space="preserve"> </w:t>
      </w:r>
      <w:r>
        <w:rPr/>
        <w:t xml:space="preserve">2001, as modified, the Market Access Coalition (“MAC”) hereby answers the motion of Atofina Chemicals, Inc., </w:t>
      </w:r>
      <w:r>
        <w:rPr>
          <w:u w:val="single"/>
        </w:rPr>
        <w:t>et</w:t>
      </w:r>
      <w:r>
        <w:rPr/>
        <w:t xml:space="preserve"> </w:t>
      </w:r>
      <w:r>
        <w:rPr>
          <w:u w:val="single"/>
        </w:rPr>
        <w:t>al</w:t>
      </w:r>
      <w:r>
        <w:rPr/>
        <w:t xml:space="preserve">., and Alcoa (collectively “DSIs”) for an extraordinary hearing regarding alleged </w:t>
      </w:r>
      <w:r>
        <w:rPr>
          <w:i/>
        </w:rPr>
        <w:t>ex parte</w:t>
      </w:r>
      <w:r>
        <w:rPr/>
        <w:t xml:space="preserve"> communications.  The DSIs quote data responses out of context, add in some unfounded conjecture, then jump to the conclusion that the integrity of these proceedings has been compromised.  DSIs claims are totally without merit, transparent attempts to concoct an issue for judicial review.</w:t>
      </w:r>
    </w:p>
    <w:p>
      <w:pPr>
        <w:pStyle w:val="BodyText"/>
        <w:widowControl/>
        <w:ind w:firstLine="720" w:end="0"/>
        <w:rPr/>
      </w:pPr>
      <w:r>
        <w:rPr/>
        <w:t>As with any BPA rate case, this one has had a surfeit of public process.  With active participation by the DSIs, a group of parties, denominating themselves the “Joint Customer Group,”</w:t>
      </w:r>
      <w:r>
        <w:rPr>
          <w:rStyle w:val="FootnoteCharacters"/>
          <w:rStyle w:val="FootnoteReference"/>
        </w:rPr>
        <w:footnoteReference w:id="2"/>
      </w:r>
      <w:r>
        <w:rPr/>
        <w:t xml:space="preserve"> and BPA, as one of the litigants, have developed </w:t>
      </w:r>
      <w:r>
        <w:rPr>
          <w:u w:val="single"/>
        </w:rPr>
        <w:t>in public</w:t>
      </w:r>
      <w:r>
        <w:rPr/>
        <w:t xml:space="preserve"> a common proposal on some issues.  That proposal is to be found in jointly sponsored testimony and exhibits, advocating one possible resolution of the issues addressed.  It is subject to cross-examination, rebuttal, briefing and oral argument by the DSIs, whose procedural rights have been scrupulously protected.</w:t>
      </w:r>
    </w:p>
    <w:p>
      <w:pPr>
        <w:pStyle w:val="BodyText"/>
        <w:widowControl/>
        <w:spacing w:lineRule="exact" w:line="480"/>
        <w:jc w:val="center"/>
        <w:rPr>
          <w:b/>
          <w:u w:val="single"/>
        </w:rPr>
      </w:pPr>
      <w:r>
        <w:rPr>
          <w:b/>
          <w:u w:val="single"/>
        </w:rPr>
        <w:t>ARGUMENT</w:t>
      </w:r>
    </w:p>
    <w:p>
      <w:pPr>
        <w:pStyle w:val="BodyText"/>
        <w:widowControl/>
        <w:spacing w:lineRule="exact" w:line="480"/>
        <w:ind w:firstLine="720" w:end="0"/>
        <w:rPr/>
      </w:pPr>
      <w:r>
        <w:rPr/>
        <w:t xml:space="preserve">While the BPA procedural rules do not specifically provide for it, there is significant precedent regarding settlement of BPA rate cases arising under Northwest Power Act Section 7(i).  Past cases involved unanimous settlements among the parties and BPA, qua litigant.  In past settlements, BPA and all parties aligned themselves together in support of a single, consensus proposal.  Because all parties joined and supported these unanimous settlement proposals, they necessarily waived their rights to contest that settlement through the filing of adverse testimony, cross-examination, oral argument and brief.  Ultimately, the Administrator was asked to approve and adopt these unanimous settlements as the </w:t>
      </w:r>
      <w:r>
        <w:rPr>
          <w:u w:val="single"/>
        </w:rPr>
        <w:t>one-and-only</w:t>
      </w:r>
      <w:r>
        <w:rPr/>
        <w:t xml:space="preserve"> resolution of all outstanding issues without further process.</w:t>
      </w:r>
    </w:p>
    <w:p>
      <w:pPr>
        <w:pStyle w:val="Normal"/>
        <w:widowControl/>
        <w:spacing w:lineRule="exact" w:line="480"/>
        <w:ind w:firstLine="720" w:end="0"/>
        <w:jc w:val="both"/>
        <w:rPr/>
      </w:pPr>
      <w:r>
        <w:rPr/>
        <w:t>This case has been different, but not in a way causing the slightest prejudice to the DSIs.  BPA and all parties began the search for another unanimous settlement.  A series of settlement meetings were duly noticed.  All parties, including the DSIs, were invited and attended.  During the course of these discussions, however, the DSIs declined the invitation to craft another unanimous settlement.  Instead, they elected to go their own way.  At that point, the DSIs caused the tenor and scope of the dialogue to narrow.</w:t>
      </w:r>
    </w:p>
    <w:p>
      <w:pPr>
        <w:pStyle w:val="Normal"/>
        <w:widowControl/>
        <w:spacing w:lineRule="exact" w:line="480"/>
        <w:ind w:firstLine="720" w:end="0"/>
        <w:jc w:val="both"/>
        <w:rPr/>
      </w:pPr>
      <w:r>
        <w:rPr/>
        <w:t xml:space="preserve">Lacking unanimity, the Joint Customers, and BPA qua litigant, lost hope of presenting the Administrator with another proposal representing the one-and-only resolution of all issues.  Hope of avoiding a full Section 7(i) hearing was also put aside.  Instead, these parties simply aligned themselves according to their common positions on the merits of some of the issues set for trial. </w:t>
      </w:r>
      <w:r>
        <w:rPr>
          <w:rStyle w:val="FootnoteCharacters"/>
          <w:rStyle w:val="FootnoteReference"/>
        </w:rPr>
        <w:footnoteReference w:id="3"/>
      </w:r>
      <w:r>
        <w:rPr/>
        <w:t xml:space="preserve">  They planned to file common (or at least consistent) testimony.</w:t>
      </w:r>
    </w:p>
    <w:p>
      <w:pPr>
        <w:pStyle w:val="Normal"/>
        <w:widowControl/>
        <w:spacing w:lineRule="exact" w:line="480"/>
        <w:ind w:firstLine="720" w:end="0"/>
        <w:jc w:val="both"/>
        <w:rPr/>
      </w:pPr>
      <w:r>
        <w:rPr/>
        <w:t>Necessarily, these parties had to discuss common positions for testimony.  The DSIs were invited to these meetings even though they had decided to position themselves adverse to Joint Parties.  Several of the Joint Parties have acknowledged that a few discussions occurred between public meetings.  Any such discussions – and there were very few when compared to the public dialogue – were covered by exceptions to the ex parte rule.</w:t>
      </w:r>
    </w:p>
    <w:p>
      <w:pPr>
        <w:pStyle w:val="Normal"/>
        <w:widowControl/>
        <w:spacing w:lineRule="exact" w:line="480"/>
        <w:ind w:firstLine="720" w:end="0"/>
        <w:jc w:val="both"/>
        <w:rPr/>
      </w:pPr>
      <w:r>
        <w:rPr/>
        <w:t xml:space="preserve">Technical discussions occurred to cross-check data or methodological details among the Joint Parties and with BPA, qua litigant.  The topic of discussion related to testimony and exhibits, so clearly the discussions occurred, not to promote secrecy, but in anticipation of publication – both during subsequent pretrail public meetings and at trial.  Such discussions related to matters of “supplemental information or data necessary for an understanding of factual materials contained in documents filed with BPA during a hearing” and thus within an exception to the </w:t>
      </w:r>
      <w:r>
        <w:rPr>
          <w:i/>
        </w:rPr>
        <w:t>ex parte</w:t>
      </w:r>
      <w:r>
        <w:rPr/>
        <w:t xml:space="preserve"> rule.  Procedural Rule Section 1010.7(b)(6).  To our knowledge, any such discussions involving BPA were coordinated by BPA litigation counsel.  </w:t>
      </w:r>
      <w:r>
        <w:rPr>
          <w:u w:val="single"/>
        </w:rPr>
        <w:t>Id</w:t>
      </w:r>
      <w:r>
        <w:rPr/>
        <w:t>.</w:t>
      </w:r>
    </w:p>
    <w:p>
      <w:pPr>
        <w:pStyle w:val="Normal"/>
        <w:widowControl/>
        <w:spacing w:lineRule="exact" w:line="480"/>
        <w:ind w:firstLine="720" w:end="0"/>
        <w:jc w:val="both"/>
        <w:rPr/>
      </w:pPr>
      <w:r>
        <w:rPr/>
        <w:t>There were also a few procedural discussions for the purpose if identifying, but not resolving, issues outside the scope of the Joint Customer/BPA alignment.  Such issues were to be publicly identified and preserved for trial.  These discussions fall within the exception relating to “matters of procedure only.”  Section 1010.7(b)(1).</w:t>
      </w:r>
    </w:p>
    <w:p>
      <w:pPr>
        <w:pStyle w:val="Normal"/>
        <w:widowControl/>
        <w:spacing w:lineRule="exact" w:line="480"/>
        <w:ind w:firstLine="720" w:end="0"/>
        <w:jc w:val="both"/>
        <w:rPr/>
      </w:pPr>
      <w:r>
        <w:rPr/>
        <w:t>There is no conspiracy here.  The DSIs have uncovered no deep, dark secret.  No decision has been predetermined.  Any discussions between public meetings were both innocent and legally permissible.  The Joint Customers and BPA, qua litigant, have simply been engaged in trial preparation – in public under the very noses of the DSIs.</w:t>
      </w:r>
    </w:p>
    <w:p>
      <w:pPr>
        <w:pStyle w:val="Normal"/>
        <w:widowControl/>
        <w:spacing w:lineRule="exact" w:line="480"/>
        <w:ind w:firstLine="720" w:end="0"/>
        <w:jc w:val="both"/>
        <w:rPr/>
      </w:pPr>
      <w:r>
        <w:rPr/>
        <w:t xml:space="preserve">A critical point lost on the DSIs is that the product of this joint effort to develop a common case-in-chief has been made public, formally and well in advance of the regularly scheduled evidentiary hearing, through the filing of the Joint Customer Proposal, a “Partial Stipulation and Settlement” and BPA’s Supplemental Proposal.  Any side-bar discussion occurring during preparation of these documents is totally irrelevant to the merits of the proposals advanced therein.  Unless these documents, as filed, substantiate the positions taken therein, the Administrator will be unable to adopt those positions for lack of substantial record evidence.  Since the remedy for any </w:t>
      </w:r>
      <w:r>
        <w:rPr>
          <w:i/>
        </w:rPr>
        <w:t>ex parte</w:t>
      </w:r>
      <w:r>
        <w:rPr/>
        <w:t xml:space="preserve"> communication would be publication, which has already occurred, and the opportunity for refutation, the DSIs already have at their disposal every remedy to which they would be entitled.  They can attempt to refute the Joint Customer/BPA litigation position through their own testimony (which they already have filed), cross-examination, oral argument and brief.</w:t>
      </w:r>
    </w:p>
    <w:p>
      <w:pPr>
        <w:pStyle w:val="Normal"/>
        <w:widowControl/>
        <w:spacing w:lineRule="exact" w:line="480"/>
        <w:ind w:firstLine="720" w:end="0"/>
        <w:jc w:val="both"/>
        <w:rPr/>
      </w:pPr>
      <w:r>
        <w:rPr/>
        <w:t>This process of developing a common litigation strategy, and implementing that strategy through joint testimony, might have been tidier if there was a separation of functions within BPA, as there is at the Federal Energy Regulatory Commission, between “litigation” and “advisory” staffs.  However, there is no such distinction; neither is one legally required for BPA.  For 20 years under the Northwest Power Act BPA has participated as a litigant in all Section 7(i) hearings with the same right as any other party to file testimony and engage in cross-examination.  It would have been impossible to develop consistent testimony and exhibits without discussing that testimony prior to filing with the litigants in alignment, including BPA.</w:t>
      </w:r>
    </w:p>
    <w:p>
      <w:pPr>
        <w:pStyle w:val="Normal"/>
        <w:widowControl/>
        <w:spacing w:lineRule="exact" w:line="480"/>
        <w:ind w:firstLine="720" w:end="0"/>
        <w:jc w:val="both"/>
        <w:rPr/>
      </w:pPr>
      <w:r>
        <w:rPr/>
        <w:t>Although the DSIs have aligned themselves adversely to the grouping of the Joint Customers and BPA, qua litigant, the DSIs have been active in the development of the Joint Customers’ case-in-chief to a far greater degree than the opportunities normally accorded through discovery.  DSI representatives attended all the meetings, critiqued Joint Customer/BPA proposals and reviewed the data.  However, the DSI have not compromised their litigation position by participating in this open dialogue.</w:t>
      </w:r>
    </w:p>
    <w:p>
      <w:pPr>
        <w:pStyle w:val="Normal"/>
        <w:widowControl/>
        <w:spacing w:lineRule="exact" w:line="480"/>
        <w:ind w:firstLine="720" w:end="0"/>
        <w:jc w:val="both"/>
        <w:rPr/>
      </w:pPr>
      <w:r>
        <w:rPr/>
        <w:t>Meanwhile, the DSIs – after electing to go their own way – have proceeded to develop their own litigation strategy, file their own testimony and avail themselves of every other right accorded parties in Section 7(i) hearings.  The Joint Customers didn’t listen in on DSI strategy sessions, or review drafts of DSI testimony, or check the accuracy of data used by DSI witnesses.  If anything, the DSIs have been unfairly advantaged through the process followed in this case.</w:t>
      </w:r>
    </w:p>
    <w:p>
      <w:pPr>
        <w:pStyle w:val="Normal"/>
        <w:widowControl/>
        <w:spacing w:lineRule="exact" w:line="480"/>
        <w:ind w:firstLine="720" w:end="0"/>
        <w:jc w:val="both"/>
        <w:rPr/>
      </w:pPr>
      <w:r>
        <w:rPr/>
        <w:t>All the foregoing trial-preparation steps will culminate in a contested hearing.  Alignment of parties has led to fewer pieces of testimony; however, multiple positions will still be advanced.  Parties will still argue the wisdom of their positions for the resolution of each issue on the merits.  Witnesses will still have to withstand cross-examination.  The fact that some parties and their witnesses coordinated their positions and their testimony beforehand should have no bearing on whether those positions are sound.  This is not a popularity contest.  The Administrator will have to decide among these positions, based on a fully developed record.</w:t>
      </w:r>
    </w:p>
    <w:p>
      <w:pPr>
        <w:pStyle w:val="Normal"/>
        <w:widowControl/>
        <w:spacing w:lineRule="exact" w:line="480"/>
        <w:ind w:firstLine="720" w:end="0"/>
        <w:jc w:val="both"/>
        <w:rPr/>
      </w:pPr>
      <w:r>
        <w:rPr/>
        <w:t>Rather than conduct special depositions about who edited what line of common testimony, who checked what number, MAC believes that the hearing should proceed as scheduled.  The DSIs are free to ask each sponsoring witness whether testimony represents the product of his/her expert judgment.  If the witness answers that a passage of text, number, or methodology was merely incorporated without independent assessment or review, the DSIs will have two obvious alternatives.  First, the offending provision may be subject to a motion to strike as improper expert testimony.  Second, the DSIs may ask to call to the stand the expert actually responsible for that portion of testimony.  These alternatives are fail-safe protections for DSI procedural rights, assuming arguendo such rights have ever faced even the slightest prejudice.</w:t>
      </w:r>
    </w:p>
    <w:p>
      <w:pPr>
        <w:pStyle w:val="Normal"/>
        <w:widowControl/>
        <w:spacing w:lineRule="exact" w:line="480"/>
        <w:ind w:firstLine="720" w:end="0"/>
        <w:jc w:val="both"/>
        <w:rPr/>
      </w:pPr>
      <w:r>
        <w:rPr/>
        <w:t xml:space="preserve">Lest there be any remaining uncertainty about the procedural regularity of this situation, we invite the Administrator to invoke his authority under Section 1010.1(d) to waive or clarify provisions of the </w:t>
      </w:r>
      <w:r>
        <w:rPr>
          <w:i/>
        </w:rPr>
        <w:t>ex parte</w:t>
      </w:r>
      <w:r>
        <w:rPr/>
        <w:t xml:space="preserve"> rule as follows:</w:t>
      </w:r>
    </w:p>
    <w:p>
      <w:pPr>
        <w:pStyle w:val="Normal"/>
        <w:widowControl/>
        <w:ind w:start="1440" w:end="720"/>
        <w:jc w:val="both"/>
        <w:rPr/>
      </w:pPr>
      <w:r>
        <w:rPr/>
      </w:r>
    </w:p>
    <w:p>
      <w:pPr>
        <w:pStyle w:val="Normal"/>
        <w:widowControl/>
        <w:ind w:start="1440" w:end="720"/>
        <w:jc w:val="both"/>
        <w:rPr/>
      </w:pPr>
      <w:r>
        <w:rPr/>
        <w:t xml:space="preserve">BPA encourages settlement discussions regarding any matter at issue in proceedings conducted pursuant to Northwest Power Act Section 7(i).  As a litigant in such proceedings, BPA participation in such negotiations is helpful and often necessary.  In instances where all parties are invited to participate in settlement discussions for which notice has been given, but some voluntarily decide not to proceed, discussions may continue regarding the possible alignment of parties, including BPA qua litigant, for purposes of developing jointly sponsored testimony, oral argument and/or briefing.  A party electing not to align itself with such a group shall </w:t>
      </w:r>
      <w:r>
        <w:rPr>
          <w:u w:val="single"/>
        </w:rPr>
        <w:t>not</w:t>
      </w:r>
      <w:r>
        <w:rPr/>
        <w:t xml:space="preserve"> be deemed to have waived any right accorded it under Section 7(i) to contest the common positions advocated by other parties, and to develop adverse positions for subsequent hearing on the merits regarding any issue.</w:t>
      </w:r>
    </w:p>
    <w:p>
      <w:pPr>
        <w:pStyle w:val="Normal"/>
        <w:widowControl/>
        <w:ind w:start="1440" w:end="720"/>
        <w:jc w:val="both"/>
        <w:rPr/>
      </w:pPr>
      <w:r>
        <w:rPr/>
      </w:r>
    </w:p>
    <w:p>
      <w:pPr>
        <w:pStyle w:val="Normal"/>
        <w:widowControl/>
        <w:spacing w:lineRule="auto" w:line="480"/>
        <w:jc w:val="both"/>
        <w:rPr/>
      </w:pPr>
      <w:r>
        <w:rPr/>
        <w:tab/>
        <w:t xml:space="preserve">MAC believes that the foregoing statement would simply make explicit what is already inherent in the rules.  Settlement agreements have become part and parcel to BPA rate cases even though the rules do not expressly provide for them.  Settlement agreements can be either total or partial, either unanimous or contested.  When settlements are not unanimous, they serve only to consolidate the positions of participating parties, while protecting the rights of contesting parties.  </w:t>
      </w:r>
      <w:r>
        <w:rPr>
          <w:u w:val="single"/>
        </w:rPr>
        <w:t>In re Hogoton-Anadarko Area Rate Case</w:t>
      </w:r>
      <w:r>
        <w:rPr/>
        <w:t>, 466 F.2d 974, 981 (9</w:t>
      </w:r>
      <w:r>
        <w:rPr>
          <w:vertAlign w:val="superscript"/>
        </w:rPr>
        <w:t>th</w:t>
      </w:r>
      <w:r>
        <w:rPr/>
        <w:t xml:space="preserve"> Cir. 1972) (“The proposal was not dealt with by the Commission as an agreed settlement by all of the parties (which of course it was not), but as a proposed resolution on the merits.”).</w:t>
      </w:r>
    </w:p>
    <w:p>
      <w:pPr>
        <w:pStyle w:val="Normal"/>
        <w:widowControl/>
        <w:spacing w:lineRule="auto" w:line="480"/>
        <w:ind w:firstLine="720" w:end="0"/>
        <w:jc w:val="both"/>
        <w:rPr/>
      </w:pPr>
      <w:r>
        <w:rPr/>
        <w:t xml:space="preserve">Without cause, the DSIs are attempting to delay the administrative process.  They should end their petulance and proceed with the task of proving the alleged merits of their case.  The DSI motion should be denied. </w:t>
      </w:r>
      <w:r>
        <w:rPr>
          <w:rStyle w:val="FootnoteCharacters"/>
          <w:rStyle w:val="FootnoteReference"/>
        </w:rPr>
        <w:footnoteReference w:id="4"/>
      </w:r>
    </w:p>
    <w:tbl>
      <w:tblPr>
        <w:tblW w:w="4788" w:type="dxa"/>
        <w:jc w:val="start"/>
        <w:tblInd w:w="4788" w:type="dxa"/>
        <w:tblLayout w:type="fixed"/>
        <w:tblCellMar>
          <w:top w:w="0" w:type="dxa"/>
          <w:start w:w="108" w:type="dxa"/>
          <w:bottom w:w="0" w:type="dxa"/>
          <w:end w:w="108" w:type="dxa"/>
        </w:tblCellMar>
      </w:tblPr>
      <w:tblGrid>
        <w:gridCol w:w="4788"/>
      </w:tblGrid>
      <w:tr>
        <w:trPr/>
        <w:tc>
          <w:tcPr>
            <w:tcW w:w="4788" w:type="dxa"/>
            <w:tcBorders/>
          </w:tcPr>
          <w:p>
            <w:pPr>
              <w:pStyle w:val="DWTNorm"/>
              <w:ind w:hanging="0" w:end="0"/>
              <w:jc w:val="both"/>
              <w:rPr/>
            </w:pPr>
            <w:r>
              <w:rPr/>
              <w:t>Respectfully submitted,</w:t>
            </w:r>
          </w:p>
          <w:p>
            <w:pPr>
              <w:pStyle w:val="DWTNorm"/>
              <w:ind w:hanging="0" w:end="0"/>
              <w:jc w:val="both"/>
              <w:rPr/>
            </w:pPr>
            <w:r>
              <w:rPr/>
            </w:r>
          </w:p>
          <w:p>
            <w:pPr>
              <w:pStyle w:val="DWTNorm"/>
              <w:spacing w:before="0" w:after="0"/>
              <w:ind w:hanging="0" w:end="0"/>
              <w:jc w:val="both"/>
              <w:rPr/>
            </w:pPr>
            <w:r>
              <w:rPr/>
              <w:t>_____________________________</w:t>
            </w:r>
          </w:p>
          <w:p>
            <w:pPr>
              <w:pStyle w:val="DWTNorm"/>
              <w:spacing w:before="0" w:after="0"/>
              <w:ind w:hanging="0" w:end="0"/>
              <w:jc w:val="both"/>
              <w:rPr/>
            </w:pPr>
            <w:r>
              <w:rPr/>
              <w:t>John A. Cameron</w:t>
            </w:r>
          </w:p>
          <w:p>
            <w:pPr>
              <w:pStyle w:val="DWTNorm"/>
              <w:spacing w:before="0" w:after="0"/>
              <w:ind w:hanging="0" w:end="0"/>
              <w:jc w:val="both"/>
              <w:rPr/>
            </w:pPr>
            <w:r>
              <w:rPr/>
              <w:t>Traci A. Grundon</w:t>
            </w:r>
          </w:p>
          <w:p>
            <w:pPr>
              <w:pStyle w:val="DWTNorm"/>
              <w:spacing w:before="0" w:after="0"/>
              <w:ind w:hanging="0" w:end="0"/>
              <w:jc w:val="both"/>
              <w:rPr/>
            </w:pPr>
            <w:r>
              <w:rPr/>
              <w:t>Davis Wright Tremaine</w:t>
            </w:r>
          </w:p>
          <w:p>
            <w:pPr>
              <w:pStyle w:val="DWTNorm"/>
              <w:spacing w:before="0" w:after="240"/>
              <w:ind w:hanging="0" w:end="0"/>
              <w:jc w:val="both"/>
              <w:rPr/>
            </w:pPr>
            <w:r>
              <w:rPr/>
              <w:t>Attorneys for the Market Access Coalition</w:t>
            </w:r>
          </w:p>
        </w:tc>
      </w:tr>
    </w:tbl>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sz w:val="16"/>
        </w:rPr>
      </w:pPr>
      <w:r>
        <w:rPr>
          <w:sz w:val="16"/>
        </w:rPr>
      </w:r>
    </w:p>
    <w:p>
      <w:pPr>
        <w:pStyle w:val="Normal"/>
        <w:widowControl/>
        <w:jc w:val="both"/>
        <w:rPr>
          <w:sz w:val="16"/>
        </w:rPr>
      </w:pPr>
      <w:r>
        <w:rPr>
          <w:sz w:val="16"/>
        </w:rPr>
        <w:t>F:\4\48816\2\WP-02 reopened rate case</w:t>
      </w:r>
    </w:p>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50" w:leader="none"/>
        <w:tab w:val="right" w:pos="9360" w:leader="none"/>
      </w:tabs>
      <w:spacing w:before="200" w:after="0"/>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r>
    <w:r>
      <w:rPr>
        <w:rStyle w:val="PageNumber"/>
        <w:sz w:val="20"/>
      </w:rPr>
      <w:t xml:space="preserve">ANSWER OF THE MARKET ACCESS COALITION TO </w:t>
      <w:tab/>
      <w:t>WP-02-A-___</w:t>
    </w:r>
  </w:p>
  <w:p>
    <w:pPr>
      <w:pStyle w:val="Normal"/>
      <w:tabs>
        <w:tab w:val="clear" w:pos="720"/>
        <w:tab w:val="left" w:pos="450" w:leader="none"/>
      </w:tabs>
      <w:rPr/>
    </w:pPr>
    <w:r>
      <w:rPr>
        <w:rStyle w:val="PageNumber"/>
        <w:sz w:val="20"/>
      </w:rPr>
      <w:tab/>
      <w:t>TO DSI MOTION FOR EXTRAORDINARY EVIDENTIARY</w:t>
    </w:r>
  </w:p>
  <w:p>
    <w:pPr>
      <w:pStyle w:val="Normal"/>
      <w:tabs>
        <w:tab w:val="clear" w:pos="720"/>
        <w:tab w:val="left" w:pos="450" w:leader="none"/>
      </w:tabs>
      <w:rPr/>
    </w:pPr>
    <w:r>
      <w:rPr>
        <w:rStyle w:val="PageNumber"/>
        <w:sz w:val="20"/>
      </w:rPr>
      <w:tab/>
      <w:t xml:space="preserve">HEARING CONCERNING ALLEGED </w:t>
    </w:r>
    <w:r>
      <w:rPr>
        <w:rStyle w:val="PageNumber"/>
        <w:i/>
        <w:sz w:val="20"/>
      </w:rPr>
      <w:t>EX PARTE</w:t>
    </w:r>
    <w:r>
      <w:rPr>
        <w:rStyle w:val="PageNumber"/>
        <w:sz w:val="20"/>
      </w:rPr>
      <w:t xml:space="preserve"> COMMUNICATIONS</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jc w:val="both"/>
        <w:rPr/>
      </w:pPr>
      <w:r>
        <w:rPr>
          <w:rStyle w:val="FootnoteCharacters"/>
        </w:rPr>
        <w:footnoteRef/>
      </w:r>
      <w:r>
        <w:rPr>
          <w:sz w:val="20"/>
        </w:rPr>
        <w:t xml:space="preserve"> </w:t>
      </w:r>
      <w:r>
        <w:rPr/>
        <w:t>Avista, Idaho Power, PacifiCorp, Portland General Electric, Puget Sound Energy, Market Access Coalition, Northwest Requirements Utilities, Pacific Northwest Generating Cooperative, Public Power Council, Public Generating Pool, Washington Public Agencies Group, Oregon Public Utilities Commission and Washington Utilities and Transportation Commission.</w:t>
      </w:r>
    </w:p>
  </w:footnote>
  <w:footnote w:id="3">
    <w:p>
      <w:pPr>
        <w:pStyle w:val="FootnoteText"/>
        <w:widowControl/>
        <w:jc w:val="both"/>
        <w:rPr/>
      </w:pPr>
      <w:r>
        <w:rPr>
          <w:rStyle w:val="FootnoteCharacters"/>
        </w:rPr>
        <w:footnoteRef/>
      </w:r>
      <w:r>
        <w:rPr/>
        <w:t xml:space="preserve"> </w:t>
      </w:r>
      <w:r>
        <w:rPr/>
        <w:t>To read the DSI motion one might erroneously conclude that BPA testimony was in lockstep with Joint Customer positions.  Significant differences remain on several issues.</w:t>
      </w:r>
    </w:p>
  </w:footnote>
  <w:footnote w:id="4">
    <w:p>
      <w:pPr>
        <w:pStyle w:val="FootnoteText"/>
        <w:widowControl/>
        <w:jc w:val="both"/>
        <w:rPr/>
      </w:pPr>
      <w:r>
        <w:rPr>
          <w:rStyle w:val="FootnoteCharacters"/>
        </w:rPr>
        <w:footnoteRef/>
      </w:r>
      <w:r>
        <w:rPr/>
        <w:t xml:space="preserve"> </w:t>
      </w:r>
      <w:r>
        <w:rPr/>
        <w:t xml:space="preserve">The DSI motion references two communications to the Administrator, one via mail and one via e-mail.  If not done already, these communications should be added immediately to the </w:t>
      </w:r>
      <w:r>
        <w:rPr>
          <w:i/>
        </w:rPr>
        <w:t>ex parte</w:t>
      </w:r>
      <w:r>
        <w:rPr/>
        <w:t xml:space="preserve"> file.  MAC would not oppose a DSI request to rebut the contents of those communications.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0"/>
        </w:tabs>
        <w:ind w:start="0" w:hanging="0"/>
      </w:pPr>
      <w:rPr>
        <w:caps/>
        <w:sz w:val="24"/>
        <w:i w:val="false"/>
        <w:u w:val="none"/>
        <w:b w:val="false"/>
        <w:rFonts w:ascii="Times New Roman" w:hAnsi="Times New Roman" w:cs="Times New Roman"/>
        <w:color w:val="000000"/>
      </w:rPr>
    </w:lvl>
    <w:lvl w:ilvl="1">
      <w:start w:val="1"/>
      <w:numFmt w:val="upperLetter"/>
      <w:lvlText w:val="%2."/>
      <w:lvlJc w:val="start"/>
      <w:pPr>
        <w:tabs>
          <w:tab w:val="num" w:pos="1440"/>
        </w:tabs>
        <w:ind w:start="1440" w:hanging="720"/>
      </w:pPr>
      <w:rPr>
        <w:smallCaps w:val="false"/>
        <w:caps w:val="false"/>
        <w:sz w:val="24"/>
        <w:i w:val="false"/>
        <w:u w:val="none"/>
        <w:b w:val="false"/>
        <w:rFonts w:ascii="Times New Roman" w:hAnsi="Times New Roman" w:cs="Times New Roman"/>
        <w:color w:val="000000"/>
      </w:rPr>
    </w:lvl>
    <w:lvl w:ilvl="2">
      <w:start w:val="1"/>
      <w:numFmt w:val="decimal"/>
      <w:lvlText w:val="%3."/>
      <w:lvlJc w:val="start"/>
      <w:pPr>
        <w:tabs>
          <w:tab w:val="num" w:pos="2160"/>
        </w:tabs>
        <w:ind w:start="2160" w:hanging="720"/>
      </w:pPr>
      <w:rPr>
        <w:smallCaps w:val="false"/>
        <w:caps w:val="false"/>
        <w:sz w:val="24"/>
        <w:i w:val="false"/>
        <w:u w:val="none"/>
        <w:b w:val="false"/>
        <w:rFonts w:ascii="Times New Roman" w:hAnsi="Times New Roman" w:cs="Times New Roman"/>
        <w:color w:val="000000"/>
      </w:rPr>
    </w:lvl>
    <w:lvl w:ilvl="3">
      <w:start w:val="1"/>
      <w:numFmt w:val="decimal"/>
      <w:lvlText w:val="%1.%2"/>
      <w:lvlJc w:val="start"/>
      <w:pPr>
        <w:tabs>
          <w:tab w:val="num" w:pos="2880"/>
        </w:tabs>
        <w:ind w:start="2880" w:hanging="720"/>
      </w:pPr>
      <w:rPr>
        <w:smallCaps w:val="false"/>
        <w:caps w:val="false"/>
        <w:sz w:val="24"/>
        <w:i w:val="false"/>
        <w:u w:val="none"/>
        <w:b w:val="false"/>
        <w:rFonts w:ascii="Times New Roman" w:hAnsi="Times New Roman" w:cs="Times New Roman"/>
        <w:color w:val="000000"/>
      </w:rPr>
    </w:lvl>
    <w:lvl w:ilvl="4">
      <w:start w:val="1"/>
      <w:numFmt w:val="lowerLetter"/>
      <w:lvlText w:val="(%5)"/>
      <w:lvlJc w:val="start"/>
      <w:pPr>
        <w:tabs>
          <w:tab w:val="num" w:pos="3600"/>
        </w:tabs>
        <w:ind w:start="3600" w:hanging="720"/>
      </w:pPr>
      <w:rPr>
        <w:smallCaps w:val="false"/>
        <w:caps w:val="false"/>
        <w:sz w:val="24"/>
        <w:i w:val="false"/>
        <w:u w:val="none"/>
        <w:b w:val="false"/>
        <w:rFonts w:ascii="Times New Roman" w:hAnsi="Times New Roman" w:cs="Times New Roman"/>
        <w:color w:val="000000"/>
      </w:rPr>
    </w:lvl>
    <w:lvl w:ilvl="5">
      <w:start w:val="1"/>
      <w:numFmt w:val="lowerRoman"/>
      <w:lvlText w:val="(%6)"/>
      <w:lvlJc w:val="start"/>
      <w:pPr>
        <w:tabs>
          <w:tab w:val="num" w:pos="4320"/>
        </w:tabs>
        <w:ind w:start="4320" w:hanging="720"/>
      </w:pPr>
      <w:rPr>
        <w:smallCaps w:val="false"/>
        <w:caps w:val="false"/>
        <w:sz w:val="24"/>
        <w:i w:val="false"/>
        <w:u w:val="none"/>
        <w:b w:val="false"/>
        <w:rFonts w:ascii="Times New Roman" w:hAnsi="Times New Roman" w:cs="Times New Roman"/>
        <w:color w:val="000000"/>
      </w:rPr>
    </w:lvl>
    <w:lvl w:ilvl="6">
      <w:start w:val="1"/>
      <w:numFmt w:val="upperLetter"/>
      <w:lvlText w:val="(%7)"/>
      <w:lvlJc w:val="start"/>
      <w:pPr>
        <w:tabs>
          <w:tab w:val="num" w:pos="5040"/>
        </w:tabs>
        <w:ind w:start="5040" w:hanging="720"/>
      </w:pPr>
      <w:rPr>
        <w:smallCaps w:val="false"/>
        <w:caps w:val="false"/>
        <w:sz w:val="24"/>
        <w:i w:val="false"/>
        <w:u w:val="none"/>
        <w:b w:val="false"/>
        <w:rFonts w:ascii="Times New Roman" w:hAnsi="Times New Roman" w:cs="Times New Roman"/>
        <w:color w:val="000000"/>
      </w:rPr>
    </w:lvl>
    <w:lvl w:ilvl="7">
      <w:start w:val="1"/>
      <w:numFmt w:val="lowerRoman"/>
      <w:lvlText w:val="%8."/>
      <w:lvlJc w:val="start"/>
      <w:pPr>
        <w:tabs>
          <w:tab w:val="num" w:pos="5760"/>
        </w:tabs>
        <w:ind w:start="5760" w:hanging="720"/>
      </w:pPr>
      <w:rPr>
        <w:smallCaps w:val="false"/>
        <w:caps w:val="false"/>
        <w:sz w:val="24"/>
        <w:i w:val="false"/>
        <w:u w:val="none"/>
        <w:b w:val="false"/>
        <w:rFonts w:ascii="Times New Roman" w:hAnsi="Times New Roman" w:cs="Times New Roman"/>
        <w:color w:val="000000"/>
      </w:r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
    <w:qFormat/>
    <w:pPr>
      <w:keepNext w:val="true"/>
      <w:widowControl w:val="false"/>
      <w:numPr>
        <w:ilvl w:val="0"/>
        <w:numId w:val="1"/>
      </w:numPr>
      <w:jc w:val="center"/>
      <w:outlineLvl w:val="0"/>
    </w:pPr>
    <w:rPr>
      <w:caps/>
      <w:sz w:val="24"/>
    </w:rPr>
  </w:style>
  <w:style w:type="paragraph" w:styleId="Heading2">
    <w:name w:val="heading 2"/>
    <w:basedOn w:val="Normal"/>
    <w:next w:val="Body"/>
    <w:qFormat/>
    <w:pPr>
      <w:keepNext w:val="true"/>
      <w:widowControl w:val="false"/>
      <w:numPr>
        <w:ilvl w:val="1"/>
        <w:numId w:val="1"/>
      </w:numPr>
      <w:outlineLvl w:val="1"/>
    </w:pPr>
    <w:rPr>
      <w:caps/>
      <w:sz w:val="24"/>
    </w:rPr>
  </w:style>
  <w:style w:type="paragraph" w:styleId="Heading3">
    <w:name w:val="heading 3"/>
    <w:basedOn w:val="Normal"/>
    <w:next w:val="Body"/>
    <w:qFormat/>
    <w:pPr>
      <w:keepNext w:val="true"/>
      <w:widowControl w:val="false"/>
      <w:numPr>
        <w:ilvl w:val="2"/>
        <w:numId w:val="1"/>
      </w:numPr>
      <w:ind w:hanging="0" w:start="720" w:end="0"/>
      <w:outlineLvl w:val="2"/>
    </w:pPr>
    <w:rPr>
      <w:sz w:val="24"/>
    </w:rPr>
  </w:style>
  <w:style w:type="paragraph" w:styleId="Heading4">
    <w:name w:val="heading 4"/>
    <w:basedOn w:val="Normal"/>
    <w:next w:val="Body"/>
    <w:qFormat/>
    <w:pPr>
      <w:keepNext w:val="true"/>
      <w:widowControl w:val="false"/>
      <w:numPr>
        <w:ilvl w:val="3"/>
        <w:numId w:val="1"/>
      </w:numPr>
      <w:ind w:hanging="0" w:start="1440" w:end="0"/>
      <w:outlineLvl w:val="3"/>
    </w:pPr>
    <w:rPr>
      <w:sz w:val="24"/>
    </w:rPr>
  </w:style>
  <w:style w:type="paragraph" w:styleId="Heading5">
    <w:name w:val="heading 5"/>
    <w:basedOn w:val="Normal"/>
    <w:next w:val="Body"/>
    <w:qFormat/>
    <w:pPr>
      <w:keepNext w:val="true"/>
      <w:widowControl w:val="false"/>
      <w:numPr>
        <w:ilvl w:val="4"/>
        <w:numId w:val="1"/>
      </w:numPr>
      <w:ind w:hanging="0" w:start="2160" w:end="0"/>
      <w:outlineLvl w:val="4"/>
    </w:pPr>
    <w:rPr>
      <w:sz w:val="24"/>
    </w:rPr>
  </w:style>
  <w:style w:type="paragraph" w:styleId="Heading6">
    <w:name w:val="heading 6"/>
    <w:basedOn w:val="Normal"/>
    <w:next w:val="Normal"/>
    <w:qFormat/>
    <w:pPr>
      <w:keepNext w:val="true"/>
      <w:widowControl w:val="false"/>
      <w:numPr>
        <w:ilvl w:val="5"/>
        <w:numId w:val="1"/>
      </w:numPr>
      <w:ind w:hanging="0" w:start="2880" w:end="0"/>
      <w:outlineLvl w:val="5"/>
    </w:pPr>
    <w:rPr>
      <w:sz w:val="24"/>
    </w:rPr>
  </w:style>
  <w:style w:type="paragraph" w:styleId="Heading7">
    <w:name w:val="heading 7"/>
    <w:basedOn w:val="Normal"/>
    <w:next w:val="Normal"/>
    <w:qFormat/>
    <w:pPr>
      <w:widowControl w:val="false"/>
      <w:numPr>
        <w:ilvl w:val="6"/>
        <w:numId w:val="1"/>
      </w:numPr>
      <w:outlineLvl w:val="6"/>
    </w:pPr>
    <w:rPr>
      <w:sz w:val="24"/>
    </w:rPr>
  </w:style>
  <w:style w:type="paragraph" w:styleId="Heading8">
    <w:name w:val="heading 8"/>
    <w:basedOn w:val="Normal"/>
    <w:next w:val="Normal"/>
    <w:qFormat/>
    <w:pPr>
      <w:widowControl w:val="false"/>
      <w:numPr>
        <w:ilvl w:val="7"/>
        <w:numId w:val="1"/>
      </w:numPr>
      <w:outlineLvl w:val="7"/>
    </w:pPr>
    <w:rPr>
      <w:sz w:val="24"/>
    </w:rPr>
  </w:style>
  <w:style w:type="paragraph" w:styleId="Heading9">
    <w:name w:val="heading 9"/>
    <w:basedOn w:val="Normal"/>
    <w:next w:val="Normal"/>
    <w:qFormat/>
    <w:pPr>
      <w:widowControl w:val="false"/>
      <w:numPr>
        <w:ilvl w:val="8"/>
        <w:numId w:val="1"/>
      </w:numPr>
      <w:outlineLvl w:val="8"/>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b w:val="false"/>
      <w:i w:val="false"/>
      <w:caps/>
      <w:color w:val="000000"/>
      <w:sz w:val="24"/>
      <w:u w:val="none"/>
    </w:rPr>
  </w:style>
  <w:style w:type="character" w:styleId="WW8Num4z1">
    <w:name w:val="WW8Num4z1"/>
    <w:qFormat/>
    <w:rPr>
      <w:rFonts w:ascii="Times New Roman" w:hAnsi="Times New Roman" w:cs="Times New Roman"/>
      <w:b w:val="false"/>
      <w:i w:val="false"/>
      <w:caps w:val="false"/>
      <w:smallCaps w:val="false"/>
      <w:color w:val="000000"/>
      <w:sz w:val="24"/>
      <w:u w:val="none"/>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Emphasis">
    <w:name w:val="Emphasis"/>
    <w:basedOn w:val="DefaultParagraphFont"/>
    <w:qFormat/>
    <w:rPr>
      <w:rFonts w:ascii="Times New Roman" w:hAnsi="Times New Roman" w:cs="Times New Roman"/>
    </w:rPr>
  </w:style>
  <w:style w:type="character" w:styleId="EndnoteCharacters">
    <w:name w:val="Endnote Characters"/>
    <w:basedOn w:val="DefaultParagraphFont"/>
    <w:qFormat/>
    <w:rPr>
      <w:rFonts w:ascii="Times New Roman" w:hAnsi="Times New Roman" w:cs="Times New Roman"/>
      <w:vertAlign w:val="superscript"/>
    </w:rPr>
  </w:style>
  <w:style w:type="character" w:styleId="FollowedHyperlink">
    <w:name w:val="FollowedHyperlink"/>
    <w:basedOn w:val="DefaultParagraphFont"/>
    <w:rPr>
      <w:rFonts w:ascii="Times New Roman" w:hAnsi="Times New Roman" w:cs="Times New Roman"/>
      <w:color w:val="800080"/>
      <w:u w:val="single"/>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Hyperlink">
    <w:name w:val="Hyperlink"/>
    <w:basedOn w:val="DefaultParagraphFont"/>
    <w:rPr>
      <w:rFonts w:ascii="Times New Roman" w:hAnsi="Times New Roman" w:cs="Times New Roman"/>
      <w:color w:val="0000FF"/>
      <w:u w:val="single"/>
    </w:rPr>
  </w:style>
  <w:style w:type="character" w:styleId="LineNumber">
    <w:name w:val="line number"/>
    <w:basedOn w:val="DefaultParagraphFon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lineRule="auto" w:line="480"/>
      <w:jc w:val="both"/>
    </w:pPr>
    <w:rPr/>
  </w:style>
  <w:style w:type="paragraph" w:styleId="List">
    <w:name w:val="List"/>
    <w:basedOn w:val="Normal"/>
    <w:pPr>
      <w:widowControl w:val="false"/>
      <w:ind w:hanging="360" w:start="720" w:end="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WTNorm">
    <w:name w:val="DWTNorm"/>
    <w:basedOn w:val="Normal"/>
    <w:qFormat/>
    <w:pPr>
      <w:widowControl/>
      <w:spacing w:before="0" w:after="240"/>
      <w:ind w:firstLine="720" w:start="0" w:end="0"/>
    </w:pPr>
    <w:rPr/>
  </w:style>
  <w:style w:type="paragraph" w:styleId="AfterQuote">
    <w:name w:val="AfterQuote"/>
    <w:basedOn w:val="DWTNorm"/>
    <w:next w:val="DWTNorm"/>
    <w:qFormat/>
    <w:pPr>
      <w:ind w:hanging="0" w:start="0" w:end="0"/>
    </w:pPr>
    <w:rPr/>
  </w:style>
  <w:style w:type="paragraph" w:styleId="Body">
    <w:name w:val="Body"/>
    <w:basedOn w:val="Normal"/>
    <w:qFormat/>
    <w:pPr>
      <w:widowControl w:val="false"/>
      <w:spacing w:lineRule="exact" w:line="480"/>
      <w:ind w:firstLine="720" w:start="0" w:end="0"/>
    </w:pPr>
    <w:rPr>
      <w:sz w:val="24"/>
    </w:rPr>
  </w:style>
  <w:style w:type="paragraph" w:styleId="BodyTextIndent">
    <w:name w:val="Body Text Indent"/>
    <w:basedOn w:val="Normal"/>
    <w:pPr>
      <w:widowControl w:val="false"/>
      <w:spacing w:before="0" w:after="120"/>
      <w:ind w:hanging="0" w:start="360" w:end="0"/>
    </w:pPr>
    <w:rPr>
      <w:sz w:val="24"/>
    </w:rPr>
  </w:style>
  <w:style w:type="paragraph" w:styleId="Citation">
    <w:name w:val="Citation"/>
    <w:basedOn w:val="Body"/>
    <w:qFormat/>
    <w:pPr>
      <w:spacing w:lineRule="exact" w:line="240" w:before="240" w:after="0"/>
      <w:ind w:hanging="0" w:start="720" w:end="720"/>
    </w:pPr>
    <w:rPr/>
  </w:style>
  <w:style w:type="paragraph" w:styleId="Closed">
    <w:name w:val="Closed"/>
    <w:basedOn w:val="Normal"/>
    <w:qFormat/>
    <w:pPr>
      <w:widowControl w:val="false"/>
    </w:pPr>
    <w:rPr>
      <w:sz w:val="24"/>
    </w:rPr>
  </w:style>
  <w:style w:type="paragraph" w:styleId="CommentText">
    <w:name w:val="Comment Text"/>
    <w:basedOn w:val="Normal"/>
    <w:qFormat/>
    <w:pPr>
      <w:widowControl w:val="false"/>
    </w:pPr>
    <w:rPr/>
  </w:style>
  <w:style w:type="paragraph" w:styleId="CopyList">
    <w:name w:val="CopyList"/>
    <w:basedOn w:val="Normal"/>
    <w:qFormat/>
    <w:pPr>
      <w:widowControl w:val="false"/>
      <w:tabs>
        <w:tab w:val="clear" w:pos="720"/>
        <w:tab w:val="left" w:pos="504" w:leader="none"/>
        <w:tab w:val="left" w:pos="2160" w:leader="none"/>
      </w:tabs>
    </w:pPr>
    <w:rPr>
      <w:sz w:val="24"/>
    </w:rPr>
  </w:style>
  <w:style w:type="paragraph" w:styleId="Date">
    <w:name w:val="Date"/>
    <w:basedOn w:val="Normal"/>
    <w:next w:val="Normal"/>
    <w:qFormat/>
    <w:pPr>
      <w:widowControl w:val="false"/>
    </w:pPr>
    <w:rPr>
      <w:sz w:val="24"/>
    </w:rPr>
  </w:style>
  <w:style w:type="paragraph" w:styleId="DWTQuote">
    <w:name w:val="DWTQuote"/>
    <w:basedOn w:val="DWTNorm"/>
    <w:next w:val="AfterQuote"/>
    <w:qFormat/>
    <w:pPr>
      <w:ind w:hanging="0" w:start="1440" w:end="1440"/>
    </w:pPr>
    <w:rPr/>
  </w:style>
  <w:style w:type="paragraph" w:styleId="DWTTitle">
    <w:name w:val="DWTTitle"/>
    <w:basedOn w:val="Normal"/>
    <w:next w:val="DWTNorm"/>
    <w:qFormat/>
    <w:pPr>
      <w:keepNext w:val="true"/>
      <w:widowControl w:val="false"/>
      <w:spacing w:before="0" w:after="240"/>
      <w:jc w:val="center"/>
    </w:pPr>
    <w:rPr>
      <w:b/>
      <w:caps/>
      <w:sz w:val="24"/>
    </w:rPr>
  </w:style>
  <w:style w:type="paragraph" w:styleId="EndnoteText">
    <w:name w:val="endnote text"/>
    <w:basedOn w:val="Normal"/>
    <w:pPr>
      <w:widowControl w:val="fals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z w:val="24"/>
    </w:rPr>
  </w:style>
  <w:style w:type="paragraph" w:styleId="FootnoteText">
    <w:name w:val="footnote text"/>
    <w:basedOn w:val="Normal"/>
    <w:pPr>
      <w:widowControl w:val="false"/>
    </w:pPr>
    <w:rPr>
      <w:sz w:val="24"/>
    </w:rPr>
  </w:style>
  <w:style w:type="paragraph" w:styleId="From">
    <w:name w:val="From"/>
    <w:basedOn w:val="Normal"/>
    <w:qFormat/>
    <w:pPr>
      <w:widowControl w:val="false"/>
    </w:pPr>
    <w:rPr>
      <w:sz w:val="24"/>
    </w:rPr>
  </w:style>
  <w:style w:type="paragraph" w:styleId="Header">
    <w:name w:val="header"/>
    <w:basedOn w:val="Normal"/>
    <w:pPr>
      <w:widowControl w:val="false"/>
      <w:tabs>
        <w:tab w:val="clear" w:pos="720"/>
        <w:tab w:val="center" w:pos="4680" w:leader="none"/>
        <w:tab w:val="right" w:pos="9360" w:leader="none"/>
      </w:tabs>
    </w:pPr>
    <w:rPr>
      <w:sz w:val="24"/>
    </w:rPr>
  </w:style>
  <w:style w:type="paragraph" w:styleId="Indented">
    <w:name w:val="Indented"/>
    <w:basedOn w:val="Normal"/>
    <w:next w:val="Body"/>
    <w:qFormat/>
    <w:pPr>
      <w:widowControl w:val="false"/>
      <w:ind w:hanging="0" w:start="720" w:end="0"/>
    </w:pPr>
    <w:rPr>
      <w:sz w:val="24"/>
    </w:rPr>
  </w:style>
  <w:style w:type="paragraph" w:styleId="Index1">
    <w:name w:val="index 1"/>
    <w:basedOn w:val="Normal"/>
    <w:next w:val="Normal"/>
    <w:pPr>
      <w:widowControl w:val="false"/>
      <w:spacing w:before="240" w:after="0"/>
    </w:pPr>
    <w:rPr>
      <w:sz w:val="24"/>
    </w:rPr>
  </w:style>
  <w:style w:type="paragraph" w:styleId="Index2">
    <w:name w:val="index 2"/>
    <w:basedOn w:val="Normal"/>
    <w:next w:val="Normal"/>
    <w:pPr>
      <w:widowControl w:val="false"/>
      <w:tabs>
        <w:tab w:val="clear" w:pos="720"/>
        <w:tab w:val="right" w:pos="8640" w:leader="dot"/>
      </w:tabs>
    </w:pPr>
    <w:rPr>
      <w:sz w:val="24"/>
    </w:rPr>
  </w:style>
  <w:style w:type="paragraph" w:styleId="NormalIndent">
    <w:name w:val="Normal Indent"/>
    <w:basedOn w:val="Normal"/>
    <w:next w:val="Normal"/>
    <w:qFormat/>
    <w:pPr>
      <w:ind w:hanging="0" w:start="720" w:end="0"/>
    </w:pPr>
    <w:rPr/>
  </w:style>
  <w:style w:type="paragraph" w:styleId="OutHead1">
    <w:name w:val="OutHead1"/>
    <w:basedOn w:val="Normal"/>
    <w:next w:val="DWTNorm"/>
    <w:qFormat/>
    <w:pPr>
      <w:keepNext w:val="true"/>
      <w:widowControl/>
      <w:numPr>
        <w:ilvl w:val="0"/>
        <w:numId w:val="2"/>
      </w:numPr>
      <w:spacing w:before="0" w:after="240"/>
      <w:outlineLvl w:val="0"/>
    </w:pPr>
    <w:rPr>
      <w:caps/>
      <w:color w:val="000000"/>
      <w:u w:val="single"/>
    </w:rPr>
  </w:style>
  <w:style w:type="paragraph" w:styleId="OutHead2">
    <w:name w:val="OutHead2"/>
    <w:basedOn w:val="Normal"/>
    <w:next w:val="DWTNorm"/>
    <w:qFormat/>
    <w:pPr>
      <w:keepNext w:val="true"/>
      <w:widowControl/>
      <w:numPr>
        <w:ilvl w:val="0"/>
        <w:numId w:val="2"/>
      </w:numPr>
      <w:spacing w:before="0" w:after="240"/>
      <w:outlineLvl w:val="1"/>
    </w:pPr>
    <w:rPr>
      <w:color w:val="000000"/>
      <w:u w:val="single"/>
    </w:rPr>
  </w:style>
  <w:style w:type="paragraph" w:styleId="OutHead3">
    <w:name w:val="OutHead3"/>
    <w:basedOn w:val="Normal"/>
    <w:next w:val="DWTNorm"/>
    <w:qFormat/>
    <w:pPr>
      <w:keepNext w:val="true"/>
      <w:widowControl/>
      <w:numPr>
        <w:ilvl w:val="0"/>
        <w:numId w:val="2"/>
      </w:numPr>
      <w:spacing w:before="0" w:after="240"/>
      <w:outlineLvl w:val="2"/>
    </w:pPr>
    <w:rPr>
      <w:color w:val="000000"/>
      <w:u w:val="single"/>
    </w:rPr>
  </w:style>
  <w:style w:type="paragraph" w:styleId="OutHead4">
    <w:name w:val="OutHead4"/>
    <w:basedOn w:val="Normal"/>
    <w:next w:val="DWTNorm"/>
    <w:qFormat/>
    <w:pPr>
      <w:keepNext w:val="true"/>
      <w:widowControl/>
      <w:numPr>
        <w:ilvl w:val="0"/>
        <w:numId w:val="2"/>
      </w:numPr>
      <w:spacing w:before="0" w:after="240"/>
      <w:outlineLvl w:val="3"/>
    </w:pPr>
    <w:rPr>
      <w:color w:val="000000"/>
      <w:u w:val="single"/>
    </w:rPr>
  </w:style>
  <w:style w:type="paragraph" w:styleId="OutHead5">
    <w:name w:val="OutHead5"/>
    <w:basedOn w:val="Normal"/>
    <w:next w:val="DWTNorm"/>
    <w:qFormat/>
    <w:pPr>
      <w:keepNext w:val="true"/>
      <w:widowControl/>
      <w:numPr>
        <w:ilvl w:val="0"/>
        <w:numId w:val="2"/>
      </w:numPr>
      <w:spacing w:before="0" w:after="240"/>
      <w:outlineLvl w:val="4"/>
    </w:pPr>
    <w:rPr>
      <w:color w:val="000000"/>
      <w:u w:val="single"/>
    </w:rPr>
  </w:style>
  <w:style w:type="paragraph" w:styleId="OutHead6">
    <w:name w:val="OutHead6"/>
    <w:basedOn w:val="Normal"/>
    <w:next w:val="DWTNorm"/>
    <w:qFormat/>
    <w:pPr>
      <w:keepNext w:val="true"/>
      <w:widowControl/>
      <w:numPr>
        <w:ilvl w:val="0"/>
        <w:numId w:val="2"/>
      </w:numPr>
      <w:spacing w:before="0" w:after="240"/>
      <w:outlineLvl w:val="5"/>
    </w:pPr>
    <w:rPr>
      <w:color w:val="000000"/>
      <w:u w:val="single"/>
    </w:rPr>
  </w:style>
  <w:style w:type="paragraph" w:styleId="OutHead7">
    <w:name w:val="OutHead7"/>
    <w:basedOn w:val="Normal"/>
    <w:next w:val="DWTNorm"/>
    <w:qFormat/>
    <w:pPr>
      <w:keepNext w:val="true"/>
      <w:widowControl/>
      <w:numPr>
        <w:ilvl w:val="0"/>
        <w:numId w:val="2"/>
      </w:numPr>
      <w:spacing w:before="0" w:after="240"/>
      <w:outlineLvl w:val="6"/>
    </w:pPr>
    <w:rPr>
      <w:color w:val="000000"/>
      <w:u w:val="single"/>
    </w:rPr>
  </w:style>
  <w:style w:type="paragraph" w:styleId="OutHead8">
    <w:name w:val="OutHead8"/>
    <w:basedOn w:val="Normal"/>
    <w:next w:val="DWTNorm"/>
    <w:qFormat/>
    <w:pPr>
      <w:keepNext w:val="true"/>
      <w:widowControl/>
      <w:numPr>
        <w:ilvl w:val="0"/>
        <w:numId w:val="2"/>
      </w:numPr>
      <w:spacing w:before="0" w:after="240"/>
      <w:outlineLvl w:val="7"/>
    </w:pPr>
    <w:rPr>
      <w:color w:val="000000"/>
      <w:u w:val="single"/>
    </w:rPr>
  </w:style>
  <w:style w:type="paragraph" w:styleId="PlainText">
    <w:name w:val="Plain Text"/>
    <w:basedOn w:val="Normal"/>
    <w:qFormat/>
    <w:pPr/>
    <w:rPr>
      <w:sz w:val="20"/>
    </w:rPr>
  </w:style>
  <w:style w:type="paragraph" w:styleId="Signature">
    <w:name w:val="Signature"/>
    <w:basedOn w:val="Normal"/>
    <w:pPr>
      <w:keepLines/>
      <w:ind w:hanging="0" w:start="4320" w:end="0"/>
    </w:pPr>
    <w:rPr/>
  </w:style>
  <w:style w:type="paragraph" w:styleId="Subject">
    <w:name w:val="Subject"/>
    <w:basedOn w:val="Normal"/>
    <w:qFormat/>
    <w:pPr/>
    <w:rPr/>
  </w:style>
  <w:style w:type="paragraph" w:styleId="SubList">
    <w:name w:val="SubList"/>
    <w:basedOn w:val="List"/>
    <w:qFormat/>
    <w:pPr>
      <w:ind w:hanging="360" w:start="144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
    <w:name w:val="Table"/>
    <w:basedOn w:val="Normal"/>
    <w:qFormat/>
    <w:pPr>
      <w:tabs>
        <w:tab w:val="clear" w:pos="720"/>
        <w:tab w:val="left" w:pos="1440" w:leader="none"/>
      </w:tabs>
      <w:spacing w:lineRule="atLeast" w:line="480"/>
    </w:pPr>
    <w:rPr/>
  </w:style>
  <w:style w:type="paragraph" w:styleId="Table2">
    <w:name w:val="Table2"/>
    <w:basedOn w:val="Normal"/>
    <w:qFormat/>
    <w:pPr>
      <w:spacing w:before="120" w:after="0"/>
      <w:ind w:hanging="0" w:start="720" w:end="0"/>
    </w:pPr>
    <w:rPr/>
  </w:style>
  <w:style w:type="paragraph" w:styleId="Title1">
    <w:name w:val="Title1"/>
    <w:basedOn w:val="DWTNorm"/>
    <w:qFormat/>
    <w:pPr>
      <w:spacing w:lineRule="auto" w:line="480"/>
      <w:ind w:hanging="0" w:start="0" w:end="0"/>
      <w:jc w:val="center"/>
    </w:pPr>
    <w:rPr>
      <w:u w:val="single"/>
    </w:rPr>
  </w:style>
  <w:style w:type="paragraph" w:styleId="TOC1">
    <w:name w:val="toc 1"/>
    <w:basedOn w:val="Normal"/>
    <w:next w:val="Normal"/>
    <w:pPr>
      <w:tabs>
        <w:tab w:val="clear" w:pos="720"/>
        <w:tab w:val="left" w:pos="360" w:leader="none"/>
        <w:tab w:val="right" w:pos="9350" w:leader="dot"/>
      </w:tabs>
      <w:spacing w:before="0" w:after="240"/>
    </w:pPr>
    <w:rPr>
      <w:lang w:val="en-CA"/>
    </w:rPr>
  </w:style>
  <w:style w:type="paragraph" w:styleId="TOC2">
    <w:name w:val="toc 2"/>
    <w:basedOn w:val="Normal"/>
    <w:next w:val="Normal"/>
    <w:pPr>
      <w:tabs>
        <w:tab w:val="clear" w:pos="720"/>
        <w:tab w:val="left" w:pos="1080" w:leader="none"/>
        <w:tab w:val="right" w:pos="9350" w:leader="dot"/>
      </w:tabs>
      <w:spacing w:before="0" w:after="240"/>
      <w:ind w:hanging="360" w:start="720" w:end="0"/>
    </w:pPr>
    <w:rPr>
      <w:lang w:val="en-CA"/>
    </w:rPr>
  </w:style>
  <w:style w:type="paragraph" w:styleId="TOC3">
    <w:name w:val="toc 3"/>
    <w:basedOn w:val="Normal"/>
    <w:next w:val="Normal"/>
    <w:pPr>
      <w:tabs>
        <w:tab w:val="clear" w:pos="720"/>
        <w:tab w:val="left" w:pos="990" w:leader="none"/>
        <w:tab w:val="right" w:pos="9350" w:leader="dot"/>
      </w:tabs>
      <w:spacing w:before="0" w:after="240"/>
      <w:ind w:hanging="270" w:start="990" w:end="0"/>
    </w:pPr>
    <w:rPr>
      <w:lang w:val="en-CA"/>
    </w:rPr>
  </w:style>
  <w:style w:type="paragraph" w:styleId="TOC4">
    <w:name w:val="toc 4"/>
    <w:basedOn w:val="Normal"/>
    <w:next w:val="Normal"/>
    <w:pPr>
      <w:spacing w:before="0" w:after="240"/>
      <w:ind w:hanging="0" w:start="720" w:end="0"/>
    </w:pPr>
    <w:rPr/>
  </w:style>
  <w:style w:type="paragraph" w:styleId="TOC5">
    <w:name w:val="toc 5"/>
    <w:basedOn w:val="Normal"/>
    <w:next w:val="Normal"/>
    <w:pPr>
      <w:spacing w:before="0" w:after="240"/>
      <w:ind w:hanging="0" w:start="965" w:end="0"/>
    </w:pPr>
    <w:rPr/>
  </w:style>
  <w:style w:type="paragraph" w:styleId="TOC6">
    <w:name w:val="toc 6"/>
    <w:basedOn w:val="Normal"/>
    <w:next w:val="Normal"/>
    <w:pPr>
      <w:spacing w:before="0" w:after="240"/>
      <w:ind w:hanging="0" w:start="1195" w:end="0"/>
    </w:pPr>
    <w:rPr/>
  </w:style>
  <w:style w:type="paragraph" w:styleId="TOC7">
    <w:name w:val="toc 7"/>
    <w:basedOn w:val="Normal"/>
    <w:next w:val="Normal"/>
    <w:pPr>
      <w:spacing w:before="0" w:after="240"/>
      <w:ind w:hanging="0" w:start="1440" w:end="0"/>
    </w:pPr>
    <w:rPr/>
  </w:style>
  <w:style w:type="paragraph" w:styleId="TOC8">
    <w:name w:val="toc 8"/>
    <w:basedOn w:val="Normal"/>
    <w:next w:val="Normal"/>
    <w:pPr>
      <w:spacing w:before="0" w:after="240"/>
      <w:ind w:hanging="0" w:start="1685" w:end="0"/>
    </w:pPr>
    <w:rPr/>
  </w:style>
  <w:style w:type="paragraph" w:styleId="TOC9">
    <w:name w:val="toc 9"/>
    <w:basedOn w:val="Normal"/>
    <w:next w:val="Normal"/>
    <w:pPr>
      <w:spacing w:before="0" w:after="240"/>
      <w:ind w:hanging="0" w:start="1915" w:end="0"/>
    </w:pPr>
    <w:rPr/>
  </w:style>
  <w:style w:type="paragraph" w:styleId="TableofAuthorities">
    <w:name w:val="Table of Authorities"/>
    <w:basedOn w:val="Normal"/>
    <w:next w:val="Normal"/>
    <w:qFormat/>
    <w:pPr>
      <w:ind w:hanging="240" w:start="240" w:end="0"/>
    </w:pPr>
    <w:rPr/>
  </w:style>
  <w:style w:type="paragraph" w:styleId="TOAHeading">
    <w:name w:val="TOA Heading"/>
    <w:basedOn w:val="Normal"/>
    <w:next w:val="Normal"/>
    <w:qFormat/>
    <w:pPr>
      <w:spacing w:before="120" w:after="0"/>
    </w:pPr>
    <w:rPr>
      <w:b/>
    </w:rPr>
  </w:style>
  <w:style w:type="paragraph" w:styleId="BlockText">
    <w:name w:val="Block Text"/>
    <w:basedOn w:val="Normal"/>
    <w:qFormat/>
    <w:pPr>
      <w:ind w:hanging="0" w:start="720" w:end="1530"/>
      <w:jc w:val="both"/>
    </w:pPr>
    <w:rPr/>
  </w:style>
  <w:style w:type="paragraph" w:styleId="BodyTextIndent2">
    <w:name w:val="Body Text Indent 2"/>
    <w:basedOn w:val="Normal"/>
    <w:qFormat/>
    <w:pPr>
      <w:spacing w:lineRule="auto" w:line="48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2001-04-09T15:44:00Z</dcterms:created>
  <dc:creator>Allyssa Lemire</dc:creator>
  <dc:description/>
  <dc:language>en-CA</dc:language>
  <cp:lastModifiedBy>Template</cp:lastModifiedBy>
  <cp:lastPrinted>2001-04-09T12:28:00Z</cp:lastPrinted>
  <dcterms:modified xsi:type="dcterms:W3CDTF">2001-04-09T17:02:00Z</dcterms:modified>
  <cp:revision>5</cp:revision>
  <dc:subject/>
  <dc:title>UNITED STATES OF AMERICA</dc:title>
</cp:coreProperties>
</file>