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lineRule="auto" w:line="240" w:before="0" w:after="0"/>
        <w:rPr>
          <w:sz w:val="36"/>
        </w:rPr>
      </w:pPr>
      <w:r>
        <w:rPr>
          <w:sz w:val="36"/>
        </w:rPr>
        <w:t>Deal Questions For Enron Power Marketing</w:t>
      </w:r>
    </w:p>
    <w:p>
      <w:pPr>
        <w:pStyle w:val="MessageHeaderLast"/>
        <w:pBdr>
          <w:bottom w:val="nil"/>
        </w:pBdr>
        <w:spacing w:lineRule="auto" w:line="240" w:before="0" w:after="120"/>
        <w:rPr>
          <w:b/>
          <w:i/>
          <w:i/>
          <w:sz w:val="22"/>
        </w:rPr>
      </w:pPr>
      <w:r>
        <w:rPr>
          <w:b/>
          <w:i/>
          <w:sz w:val="22"/>
        </w:rPr>
      </w:r>
    </w:p>
    <w:p>
      <w:pPr>
        <w:pStyle w:val="BodyText"/>
        <w:ind w:hanging="0" w:end="0"/>
        <w:rPr/>
      </w:pPr>
      <w:r>
        <w:rPr>
          <w:sz w:val="22"/>
        </w:rPr>
        <w:t>A.</w:t>
        <w:tab/>
      </w:r>
      <w:r>
        <w:rPr>
          <w:sz w:val="22"/>
          <w:u w:val="single"/>
        </w:rPr>
        <w:t>Bid Options and Assumptions</w:t>
      </w:r>
    </w:p>
    <w:p>
      <w:pPr>
        <w:pStyle w:val="BodyText"/>
        <w:numPr>
          <w:ilvl w:val="0"/>
          <w:numId w:val="4"/>
        </w:numPr>
        <w:tabs>
          <w:tab w:val="clear" w:pos="720"/>
          <w:tab w:val="left" w:pos="990" w:leader="none"/>
        </w:tabs>
        <w:ind w:hanging="360" w:start="990" w:end="0"/>
        <w:rPr>
          <w:sz w:val="22"/>
        </w:rPr>
      </w:pPr>
      <w:r>
        <w:rPr>
          <w:sz w:val="22"/>
        </w:rPr>
        <w:t>Enron Power Marketing (“Enron”) has provided three bids: 1) a conforming bid for Bid Option 1b; 2) a non-conforming bid referred to as the Enron Transaction Structure, and 3) an MPS proposal.  Is Enron willing to enter into transactions for SOS independent of MPS and/or MPS independent of SOS?</w:t>
      </w:r>
    </w:p>
    <w:p>
      <w:pPr>
        <w:pStyle w:val="BodyText"/>
        <w:ind w:hanging="0" w:start="990" w:end="0"/>
        <w:rPr>
          <w:b/>
          <w:i/>
          <w:i/>
          <w:sz w:val="22"/>
        </w:rPr>
      </w:pPr>
      <w:r>
        <w:rPr>
          <w:b/>
          <w:i/>
          <w:sz w:val="22"/>
        </w:rPr>
        <w:t>Yes, Enron is willing to enter into SOS and/or MPS transactions independent of one another.</w:t>
      </w:r>
    </w:p>
    <w:p>
      <w:pPr>
        <w:pStyle w:val="BodyText"/>
        <w:ind w:hanging="0" w:start="990" w:end="0"/>
        <w:rPr>
          <w:b/>
          <w:i/>
          <w:i/>
          <w:sz w:val="22"/>
        </w:rPr>
      </w:pPr>
      <w:r>
        <w:rPr>
          <w:b/>
          <w:i/>
          <w:sz w:val="22"/>
        </w:rPr>
      </w:r>
    </w:p>
    <w:p>
      <w:pPr>
        <w:pStyle w:val="BodyText"/>
        <w:numPr>
          <w:ilvl w:val="0"/>
          <w:numId w:val="4"/>
        </w:numPr>
        <w:tabs>
          <w:tab w:val="clear" w:pos="720"/>
          <w:tab w:val="left" w:pos="990" w:leader="none"/>
        </w:tabs>
        <w:ind w:hanging="360" w:start="990" w:end="0"/>
        <w:rPr>
          <w:sz w:val="22"/>
        </w:rPr>
      </w:pPr>
      <w:r>
        <w:rPr>
          <w:sz w:val="22"/>
        </w:rPr>
        <w:t>Confirm that your bid reflects the items identified below. To the extent your bid does not reflect some or all of these items, please indicate how your bid would change to incorporate these items.</w:t>
      </w:r>
    </w:p>
    <w:p>
      <w:pPr>
        <w:pStyle w:val="BodyText"/>
        <w:numPr>
          <w:ilvl w:val="1"/>
          <w:numId w:val="4"/>
        </w:numPr>
        <w:rPr>
          <w:sz w:val="22"/>
        </w:rPr>
      </w:pPr>
      <w:r>
        <w:rPr>
          <w:sz w:val="22"/>
        </w:rPr>
        <w:t>The monthly amortized TCC Costs for November 2002 through October 2005 (Schedule B of the SOS Agreement) of $488,451.31, as provided in the Information Memorandum and the Technical Presentation on the Supply Contracts.  Please note that the $1,074,954.24 contained in the April 12 documents was incorrect.</w:t>
      </w:r>
    </w:p>
    <w:p>
      <w:pPr>
        <w:pStyle w:val="BodyText"/>
        <w:numPr>
          <w:ilvl w:val="1"/>
          <w:numId w:val="4"/>
        </w:numPr>
        <w:rPr>
          <w:sz w:val="22"/>
        </w:rPr>
      </w:pPr>
      <w:r>
        <w:rPr>
          <w:sz w:val="22"/>
        </w:rPr>
        <w:t>The revised provisions for ICAP, applicable to October and November 2001, as posted on the web site.</w:t>
      </w:r>
    </w:p>
    <w:p>
      <w:pPr>
        <w:pStyle w:val="BodyText"/>
        <w:numPr>
          <w:ilvl w:val="1"/>
          <w:numId w:val="4"/>
        </w:numPr>
        <w:rPr>
          <w:sz w:val="22"/>
        </w:rPr>
      </w:pPr>
      <w:r>
        <w:rPr>
          <w:sz w:val="22"/>
        </w:rPr>
        <w:t>The revenue sharing provisions after October 2003 for the Oswego PPA, as posted on the web site.</w:t>
      </w:r>
    </w:p>
    <w:p>
      <w:pPr>
        <w:pStyle w:val="BodyText"/>
        <w:numPr>
          <w:ilvl w:val="1"/>
          <w:numId w:val="4"/>
        </w:numPr>
        <w:rPr>
          <w:sz w:val="22"/>
        </w:rPr>
      </w:pPr>
      <w:r>
        <w:rPr>
          <w:sz w:val="22"/>
        </w:rPr>
        <w:t>The deletion of Article 4(h) of the SOS Agreement, as posted on the web site, reflecting the elimination of the Supplier’s option to instruct the Company not to move customers off SOS Service.</w:t>
      </w:r>
    </w:p>
    <w:p>
      <w:pPr>
        <w:pStyle w:val="BodyText"/>
        <w:numPr>
          <w:ilvl w:val="1"/>
          <w:numId w:val="4"/>
        </w:numPr>
        <w:rPr>
          <w:sz w:val="22"/>
        </w:rPr>
      </w:pPr>
      <w:r>
        <w:rPr>
          <w:sz w:val="22"/>
        </w:rPr>
        <w:t>The clarifying revision to Article 5(a)(iii) of the SOS Agreement, as posted on the web site, reflecting (1) the elimination of unnecessary “greater of” language, and (2) that the result of the calculation in this clause cannot be negative.</w:t>
      </w:r>
    </w:p>
    <w:p>
      <w:pPr>
        <w:pStyle w:val="BodyText"/>
        <w:numPr>
          <w:ilvl w:val="1"/>
          <w:numId w:val="4"/>
        </w:numPr>
        <w:rPr>
          <w:sz w:val="22"/>
        </w:rPr>
      </w:pPr>
      <w:r>
        <w:rPr>
          <w:sz w:val="22"/>
        </w:rPr>
        <w:t>The exclusion of TCCs for 2001 purchased in the spring auction from the bids, as explained on the website, indicated by the deletion of the footnote on Schedule C of the SOS Agreement.</w:t>
      </w:r>
    </w:p>
    <w:p>
      <w:pPr>
        <w:pStyle w:val="BodyText"/>
        <w:spacing w:before="0" w:after="0"/>
        <w:ind w:hanging="0" w:start="1080" w:end="0"/>
        <w:rPr>
          <w:b/>
          <w:i/>
          <w:i/>
          <w:sz w:val="22"/>
        </w:rPr>
      </w:pPr>
      <w:r>
        <w:rPr>
          <w:b/>
          <w:i/>
          <w:sz w:val="22"/>
        </w:rPr>
        <w:t>Enron’s proposal dated May 8, 2001 does reflect each of the items listed above.</w:t>
      </w:r>
    </w:p>
    <w:p>
      <w:pPr>
        <w:pStyle w:val="BodyText"/>
        <w:spacing w:before="0" w:after="0"/>
        <w:ind w:hanging="0" w:end="0"/>
        <w:rPr>
          <w:b/>
          <w:i/>
          <w:i/>
          <w:sz w:val="22"/>
        </w:rPr>
      </w:pPr>
      <w:r>
        <w:rPr>
          <w:b/>
          <w:i/>
          <w:sz w:val="22"/>
        </w:rPr>
      </w:r>
    </w:p>
    <w:p>
      <w:pPr>
        <w:pStyle w:val="BodyText"/>
        <w:spacing w:before="0" w:after="0"/>
        <w:ind w:hanging="0" w:end="0"/>
        <w:rPr>
          <w:sz w:val="22"/>
        </w:rPr>
      </w:pPr>
      <w:r>
        <w:rPr>
          <w:sz w:val="22"/>
        </w:rPr>
      </w:r>
    </w:p>
    <w:p>
      <w:pPr>
        <w:pStyle w:val="BodyText"/>
        <w:ind w:hanging="0" w:end="0"/>
        <w:rPr/>
      </w:pPr>
      <w:r>
        <w:rPr>
          <w:sz w:val="22"/>
        </w:rPr>
        <w:t>B.</w:t>
        <w:tab/>
      </w:r>
      <w:r>
        <w:rPr>
          <w:sz w:val="22"/>
          <w:u w:val="single"/>
        </w:rPr>
        <w:t>Financial Security/Credit Support</w:t>
      </w:r>
    </w:p>
    <w:p>
      <w:pPr>
        <w:pStyle w:val="BodyText"/>
        <w:numPr>
          <w:ilvl w:val="0"/>
          <w:numId w:val="2"/>
        </w:numPr>
        <w:tabs>
          <w:tab w:val="clear" w:pos="720"/>
          <w:tab w:val="left" w:pos="990" w:leader="none"/>
        </w:tabs>
        <w:rPr>
          <w:sz w:val="22"/>
        </w:rPr>
      </w:pPr>
      <w:r>
        <w:rPr>
          <w:sz w:val="22"/>
        </w:rPr>
        <w:t>Your proposal notes that to enter into a transaction for Bid Option 1b, or Bid 1 above, Enron would require a senior, secured claim against all of NMPC’s assets in order to adequately address the inherent credit exposure of the transaction. What is the amount of the secured claim that has been assumed in your proposed support payments?  What other forms and amount of credit support would be accepted?</w:t>
      </w:r>
    </w:p>
    <w:p>
      <w:pPr>
        <w:pStyle w:val="BodyText"/>
        <w:ind w:hanging="0" w:start="990" w:end="0"/>
        <w:rPr>
          <w:b/>
          <w:i/>
          <w:i/>
          <w:sz w:val="22"/>
        </w:rPr>
      </w:pPr>
      <w:r>
        <w:rPr>
          <w:b/>
          <w:i/>
          <w:sz w:val="22"/>
        </w:rPr>
        <w:t>In order to enter into a conforming transaction, Enron would need a senior, secured claim against all of NMPC’s assets at the time the transaction is consummated.  Depending on the amount of net assets at that time, additional credit support may be required.   The only other form of acceptable credit support would be a pre-payment of the entire required support payments.   The precise amount of credit support required by Enron cannot be provided at this time as this amount is contingent upon a number of outstanding factors.  These factors include but are not limited to: the details of any regulatory filings/approvals relating to the transaction, especially as pertaining to the NMPC’s ability to recover costs of the transaction through fixed retail rates; potential for use of other credit enhancing instruments (e.g., securitization of support payments); and final contractual terms and conditions between the parties.</w:t>
      </w:r>
    </w:p>
    <w:p>
      <w:pPr>
        <w:pStyle w:val="BodyText"/>
        <w:ind w:hanging="0" w:start="990" w:end="0"/>
        <w:rPr>
          <w:b/>
          <w:i/>
          <w:i/>
          <w:sz w:val="22"/>
        </w:rPr>
      </w:pPr>
      <w:r>
        <w:rPr>
          <w:b/>
          <w:i/>
          <w:sz w:val="22"/>
        </w:rPr>
      </w:r>
    </w:p>
    <w:p>
      <w:pPr>
        <w:pStyle w:val="BodyText"/>
        <w:numPr>
          <w:ilvl w:val="0"/>
          <w:numId w:val="2"/>
        </w:numPr>
        <w:jc w:val="start"/>
        <w:rPr>
          <w:sz w:val="22"/>
        </w:rPr>
      </w:pPr>
      <w:r>
        <w:rPr>
          <w:sz w:val="22"/>
        </w:rPr>
        <w:t>Your proposal also notes that, as a condition to the Conforming Transaction Structure and the MPS Proposal, Enron and NMPC would need to negotiate mutually agreeable credit terms.</w:t>
        <w:br/>
        <w:br/>
        <w:t>a.  What form and level of credit support is Enron willing to provide with respect to each of the Conforming Transaction Structure and the MPS Proposal?</w:t>
        <w:br/>
        <w:br/>
        <w:t>b.  What form and level of support does the current bid contemplate?</w:t>
      </w:r>
    </w:p>
    <w:p>
      <w:pPr>
        <w:pStyle w:val="BodyText"/>
        <w:ind w:hanging="0" w:start="990" w:end="0"/>
        <w:jc w:val="start"/>
        <w:rPr>
          <w:b/>
          <w:i/>
          <w:i/>
          <w:sz w:val="22"/>
        </w:rPr>
      </w:pPr>
      <w:r>
        <w:rPr>
          <w:b/>
          <w:i/>
          <w:sz w:val="22"/>
        </w:rPr>
        <w:t>Please see the response to question 3 above.  As credit support for its obligations under the SOS and MPS transactions, Enron would be willing to provide an Enron Corp. guarantee in an amount to be negotiated by the Parties.</w:t>
      </w:r>
    </w:p>
    <w:p>
      <w:pPr>
        <w:pStyle w:val="BodyText"/>
        <w:ind w:hanging="0" w:end="0"/>
        <w:rPr/>
      </w:pPr>
      <w:r>
        <w:rPr>
          <w:sz w:val="22"/>
        </w:rPr>
        <w:t>C.</w:t>
        <w:tab/>
      </w:r>
      <w:r>
        <w:rPr>
          <w:sz w:val="22"/>
          <w:u w:val="single"/>
        </w:rPr>
        <w:t>Transaction Documents</w:t>
      </w:r>
    </w:p>
    <w:p>
      <w:pPr>
        <w:pStyle w:val="Normal"/>
        <w:numPr>
          <w:ilvl w:val="0"/>
          <w:numId w:val="2"/>
        </w:numPr>
        <w:spacing w:before="0" w:after="120"/>
        <w:rPr>
          <w:sz w:val="22"/>
        </w:rPr>
      </w:pPr>
      <w:r>
        <w:rPr>
          <w:sz w:val="22"/>
        </w:rPr>
        <w:t>As provided in the Information Memorandum and Bid Instructions, please provide any and all mark-ups to the proposed transaction agreements at this time for your Conforming Transaction Structure and MPS Proposal.</w:t>
      </w:r>
    </w:p>
    <w:p>
      <w:pPr>
        <w:pStyle w:val="BodyText"/>
        <w:ind w:hanging="0" w:start="990" w:end="0"/>
        <w:rPr>
          <w:b/>
          <w:i/>
          <w:i/>
          <w:sz w:val="22"/>
        </w:rPr>
      </w:pPr>
      <w:r>
        <w:rPr>
          <w:b/>
          <w:i/>
          <w:sz w:val="22"/>
        </w:rPr>
        <w:t>Enron would require significant revisions to all of the Transaction Documents.  However, Enron is continuing its review of the Transaction Documents and therefore not in a position to submit mark-ups of these documents at this time.</w:t>
      </w:r>
    </w:p>
    <w:p>
      <w:pPr>
        <w:pStyle w:val="BodyText"/>
        <w:ind w:hanging="0" w:end="0"/>
        <w:rPr/>
      </w:pPr>
      <w:r>
        <w:rPr>
          <w:sz w:val="22"/>
        </w:rPr>
        <w:t>D.</w:t>
        <w:tab/>
      </w:r>
      <w:r>
        <w:rPr>
          <w:sz w:val="22"/>
          <w:u w:val="single"/>
        </w:rPr>
        <w:t>Internal Approvals/Conditions of Bid</w:t>
      </w:r>
    </w:p>
    <w:p>
      <w:pPr>
        <w:pStyle w:val="BodyText"/>
        <w:numPr>
          <w:ilvl w:val="0"/>
          <w:numId w:val="2"/>
        </w:numPr>
        <w:rPr>
          <w:sz w:val="22"/>
        </w:rPr>
      </w:pPr>
      <w:r>
        <w:rPr>
          <w:sz w:val="22"/>
        </w:rPr>
        <w:t>Your proposal notes that each of your bids is for discussion purposes only and subject to additional due diligence. Please outline the amount of time necessary for such due diligence.</w:t>
      </w:r>
    </w:p>
    <w:p>
      <w:pPr>
        <w:pStyle w:val="BodyText"/>
        <w:ind w:hanging="0" w:start="990" w:end="0"/>
        <w:rPr>
          <w:b/>
          <w:i/>
          <w:i/>
          <w:sz w:val="22"/>
        </w:rPr>
      </w:pPr>
      <w:r>
        <w:rPr>
          <w:b/>
          <w:i/>
          <w:sz w:val="22"/>
        </w:rPr>
        <w:t>An estimated 2 weeks would be required at minimum.</w:t>
      </w:r>
    </w:p>
    <w:p>
      <w:pPr>
        <w:pStyle w:val="BodyText"/>
        <w:numPr>
          <w:ilvl w:val="0"/>
          <w:numId w:val="2"/>
        </w:numPr>
        <w:rPr>
          <w:sz w:val="22"/>
        </w:rPr>
      </w:pPr>
      <w:r>
        <w:rPr>
          <w:sz w:val="22"/>
        </w:rPr>
        <w:t>Please describe the level of management review that the May 8, 2001 bid has undergone.</w:t>
      </w:r>
    </w:p>
    <w:p>
      <w:pPr>
        <w:pStyle w:val="BodyText"/>
        <w:ind w:hanging="0" w:start="990" w:end="0"/>
        <w:rPr>
          <w:b/>
          <w:i/>
          <w:i/>
          <w:sz w:val="22"/>
        </w:rPr>
      </w:pPr>
      <w:r>
        <w:rPr>
          <w:b/>
          <w:i/>
          <w:sz w:val="22"/>
        </w:rPr>
        <w:t>The May 8, 2001 proposal has undergone first-tier management review.</w:t>
      </w:r>
    </w:p>
    <w:p>
      <w:pPr>
        <w:pStyle w:val="BodyText"/>
        <w:numPr>
          <w:ilvl w:val="0"/>
          <w:numId w:val="2"/>
        </w:numPr>
        <w:rPr>
          <w:sz w:val="22"/>
        </w:rPr>
      </w:pPr>
      <w:r>
        <w:rPr>
          <w:sz w:val="22"/>
        </w:rPr>
        <w:t>What specific internal approvals will be required to submit a binding bid?  What is the process to obtain such approvals?  What is the estimated timing (in business days) of that approval process?</w:t>
      </w:r>
    </w:p>
    <w:p>
      <w:pPr>
        <w:pStyle w:val="BodyText"/>
        <w:spacing w:before="0" w:after="240"/>
        <w:ind w:hanging="0" w:start="990" w:end="0"/>
        <w:rPr>
          <w:b/>
          <w:i/>
          <w:i/>
          <w:sz w:val="22"/>
        </w:rPr>
      </w:pPr>
      <w:r>
        <w:rPr>
          <w:b/>
          <w:i/>
          <w:sz w:val="22"/>
        </w:rPr>
        <w:t>Approvals of senior management and Enron Corp board of directors would be required to submit a binding proposal.  Such approvals would be contingent upon a number of outstanding items being resolved, including but not limited to regulatory uncertainties regarding review and approval of the transaction.</w:t>
      </w:r>
    </w:p>
    <w:sectPr>
      <w:headerReference w:type="default" r:id="rId2"/>
      <w:headerReference w:type="first" r:id="rId3"/>
      <w:footerReference w:type="default" r:id="rId4"/>
      <w:footerReference w:type="first" r:id="rId5"/>
      <w:type w:val="nextPage"/>
      <w:pgSz w:w="12240" w:h="15840"/>
      <w:pgMar w:left="1296" w:right="1296" w:gutter="0" w:header="720" w:top="1296" w:footer="720" w:bottom="12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Garamond">
    <w:charset w:val="00" w:characterSet="windows-1252"/>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630" w:leader="none"/>
      </w:tabs>
      <w:spacing w:before="480" w:after="0"/>
      <w:ind w:end="-245"/>
      <w:jc w:val="start"/>
      <w:rPr/>
    </w:pPr>
    <w:r>
      <w:rPr>
        <w:rStyle w:val="PageNumber"/>
        <w:sz w:val="22"/>
      </w:rPr>
      <w:t>Navigant Consulting, Inc.</w:t>
      <w:tab/>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r>
      <w:rPr>
        <w:rStyle w:val="PageNumber"/>
        <w:sz w:val="22"/>
      </w:rPr>
      <w:tab/>
      <w:t>Privileged &amp; Confidential</w:t>
    </w:r>
  </w:p>
  <w:p>
    <w:pPr>
      <w:pStyle w:val="Footer"/>
      <w:tabs>
        <w:tab w:val="clear" w:pos="4320"/>
        <w:tab w:val="clear" w:pos="8640"/>
        <w:tab w:val="center" w:pos="4680" w:leader="none"/>
        <w:tab w:val="right" w:pos="9630" w:leader="none"/>
      </w:tabs>
      <w:spacing w:before="0" w:after="0"/>
      <w:ind w:end="-245"/>
      <w:jc w:val="start"/>
      <w:rPr/>
    </w:pPr>
    <w:r>
      <w:rPr>
        <w:rStyle w:val="PageNumber"/>
        <w:sz w:val="22"/>
      </w:rPr>
      <w:t>May 9, 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630" w:leader="none"/>
      </w:tabs>
      <w:spacing w:before="480" w:after="0"/>
      <w:ind w:end="-245"/>
      <w:jc w:val="start"/>
      <w:rPr/>
    </w:pPr>
    <w:r>
      <w:rPr>
        <w:rStyle w:val="PageNumber"/>
        <w:sz w:val="22"/>
      </w:rPr>
      <w:t>Navigant Consulting, Inc.</w:t>
      <w:tab/>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ab/>
      <w:t>Privileged &amp; Confidential</w:t>
    </w:r>
  </w:p>
  <w:p>
    <w:pPr>
      <w:pStyle w:val="Footer"/>
      <w:tabs>
        <w:tab w:val="clear" w:pos="4320"/>
        <w:tab w:val="clear" w:pos="8640"/>
        <w:tab w:val="center" w:pos="4680" w:leader="none"/>
        <w:tab w:val="right" w:pos="9630" w:leader="none"/>
      </w:tabs>
      <w:spacing w:before="0" w:after="0"/>
      <w:ind w:end="-245"/>
      <w:jc w:val="start"/>
      <w:rPr/>
    </w:pPr>
    <w:r>
      <w:rPr>
        <w:rStyle w:val="PageNumber"/>
        <w:sz w:val="22"/>
      </w:rPr>
      <w:t>May 9, 2001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6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6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990"/>
        </w:tabs>
        <w:ind w:start="990" w:hanging="360"/>
      </w:pPr>
      <w:rPr/>
    </w:lvl>
    <w:lvl w:ilvl="1">
      <w:start w:val="1"/>
      <w:numFmt w:val="lowerLetter"/>
      <w:lvlText w:val="%2."/>
      <w:lvlJc w:val="start"/>
      <w:pPr>
        <w:tabs>
          <w:tab w:val="num" w:pos="2070"/>
        </w:tabs>
        <w:ind w:start="2070" w:hanging="360"/>
      </w:pPr>
    </w:lvl>
    <w:lvl w:ilvl="2">
      <w:start w:val="1"/>
      <w:numFmt w:val="lowerRoman"/>
      <w:lvlText w:val="%3."/>
      <w:lvlJc w:val="end"/>
      <w:pPr>
        <w:tabs>
          <w:tab w:val="num" w:pos="2790"/>
        </w:tabs>
        <w:ind w:start="2790" w:hanging="180"/>
      </w:pPr>
    </w:lvl>
    <w:lvl w:ilvl="3">
      <w:start w:val="1"/>
      <w:numFmt w:val="decimal"/>
      <w:lvlText w:val="%4."/>
      <w:lvlJc w:val="start"/>
      <w:pPr>
        <w:tabs>
          <w:tab w:val="num" w:pos="3510"/>
        </w:tabs>
        <w:ind w:start="3510" w:hanging="360"/>
      </w:pPr>
    </w:lvl>
    <w:lvl w:ilvl="4">
      <w:start w:val="1"/>
      <w:numFmt w:val="lowerLetter"/>
      <w:lvlText w:val="%5."/>
      <w:lvlJc w:val="start"/>
      <w:pPr>
        <w:tabs>
          <w:tab w:val="num" w:pos="4230"/>
        </w:tabs>
        <w:ind w:start="4230" w:hanging="360"/>
      </w:pPr>
    </w:lvl>
    <w:lvl w:ilvl="5">
      <w:start w:val="1"/>
      <w:numFmt w:val="lowerRoman"/>
      <w:lvlText w:val="%6."/>
      <w:lvlJc w:val="end"/>
      <w:pPr>
        <w:tabs>
          <w:tab w:val="num" w:pos="4950"/>
        </w:tabs>
        <w:ind w:start="4950" w:hanging="180"/>
      </w:pPr>
    </w:lvl>
    <w:lvl w:ilvl="6">
      <w:start w:val="1"/>
      <w:numFmt w:val="decimal"/>
      <w:lvlText w:val="%7."/>
      <w:lvlJc w:val="start"/>
      <w:pPr>
        <w:tabs>
          <w:tab w:val="num" w:pos="5670"/>
        </w:tabs>
        <w:ind w:start="5670" w:hanging="360"/>
      </w:pPr>
    </w:lvl>
    <w:lvl w:ilvl="7">
      <w:start w:val="1"/>
      <w:numFmt w:val="lowerLetter"/>
      <w:lvlText w:val="%8."/>
      <w:lvlJc w:val="start"/>
      <w:pPr>
        <w:tabs>
          <w:tab w:val="num" w:pos="6390"/>
        </w:tabs>
        <w:ind w:start="6390" w:hanging="360"/>
      </w:pPr>
    </w:lvl>
    <w:lvl w:ilvl="8">
      <w:start w:val="1"/>
      <w:numFmt w:val="lowerRoman"/>
      <w:lvlText w:val="%9."/>
      <w:lvlJc w:val="end"/>
      <w:pPr>
        <w:tabs>
          <w:tab w:val="num" w:pos="7110"/>
        </w:tabs>
        <w:ind w:start="7110" w:hanging="18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Base"/>
    <w:next w:val="BodyText"/>
    <w:qFormat/>
    <w:pPr>
      <w:numPr>
        <w:ilvl w:val="0"/>
        <w:numId w:val="1"/>
      </w:numPr>
      <w:spacing w:before="0" w:after="180"/>
      <w:jc w:val="center"/>
      <w:outlineLvl w:val="0"/>
    </w:pPr>
    <w:rPr>
      <w:smallCaps/>
      <w:spacing w:val="20"/>
      <w:sz w:val="21"/>
    </w:rPr>
  </w:style>
  <w:style w:type="paragraph" w:styleId="Heading2">
    <w:name w:val="heading 2"/>
    <w:basedOn w:val="HeadingBase"/>
    <w:next w:val="BodyText"/>
    <w:qFormat/>
    <w:pPr>
      <w:numPr>
        <w:ilvl w:val="1"/>
        <w:numId w:val="1"/>
      </w:numPr>
      <w:spacing w:before="0" w:after="170"/>
      <w:outlineLvl w:val="1"/>
    </w:pPr>
    <w:rPr>
      <w:caps/>
    </w:rPr>
  </w:style>
  <w:style w:type="paragraph" w:styleId="Heading3">
    <w:name w:val="heading 3"/>
    <w:basedOn w:val="HeadingBase"/>
    <w:next w:val="BodyText"/>
    <w:qFormat/>
    <w:pPr>
      <w:numPr>
        <w:ilvl w:val="2"/>
        <w:numId w:val="1"/>
      </w:numPr>
      <w:spacing w:before="0" w:after="240"/>
      <w:outlineLvl w:val="2"/>
    </w:pPr>
    <w:rPr>
      <w:i/>
    </w:rPr>
  </w:style>
  <w:style w:type="paragraph" w:styleId="Heading4">
    <w:name w:val="heading 4"/>
    <w:basedOn w:val="HeadingBase"/>
    <w:next w:val="BodyText"/>
    <w:qFormat/>
    <w:pPr>
      <w:numPr>
        <w:ilvl w:val="3"/>
        <w:numId w:val="1"/>
      </w:numPr>
      <w:outlineLvl w:val="3"/>
    </w:pPr>
    <w:rPr>
      <w:smallCaps/>
      <w:sz w:val="23"/>
    </w:rPr>
  </w:style>
  <w:style w:type="paragraph" w:styleId="Heading5">
    <w:name w:val="heading 5"/>
    <w:basedOn w:val="HeadingBase"/>
    <w:next w:val="BodyText"/>
    <w:qFormat/>
    <w:pPr>
      <w:numPr>
        <w:ilvl w:val="4"/>
        <w:numId w:val="1"/>
      </w:numPr>
      <w:outlineLvl w:val="4"/>
    </w:pPr>
    <w:rPr/>
  </w:style>
  <w:style w:type="paragraph" w:styleId="Heading6">
    <w:name w:val="heading 6"/>
    <w:basedOn w:val="HeadingBase"/>
    <w:next w:val="BodyText"/>
    <w:qFormat/>
    <w:pPr>
      <w:numPr>
        <w:ilvl w:val="5"/>
        <w:numId w:val="1"/>
      </w:numPr>
      <w:outlineLvl w:val="5"/>
    </w:pPr>
    <w:rPr>
      <w:i/>
    </w:rPr>
  </w:style>
  <w:style w:type="paragraph" w:styleId="Heading7">
    <w:name w:val="heading 7"/>
    <w:basedOn w:val="HeadingBase"/>
    <w:next w:val="BodyText"/>
    <w:qFormat/>
    <w:pPr>
      <w:numPr>
        <w:ilvl w:val="6"/>
        <w:numId w:val="1"/>
      </w:numPr>
      <w:ind w:firstLine="360" w:start="0" w:end="0"/>
      <w:outlineLvl w:val="6"/>
    </w:pPr>
    <w:rPr>
      <w:smallCaps/>
      <w:sz w:val="23"/>
    </w:rPr>
  </w:style>
  <w:style w:type="paragraph" w:styleId="Heading8">
    <w:name w:val="heading 8"/>
    <w:basedOn w:val="HeadingBase"/>
    <w:next w:val="BodyText"/>
    <w:qFormat/>
    <w:pPr>
      <w:numPr>
        <w:ilvl w:val="7"/>
        <w:numId w:val="1"/>
      </w:numPr>
      <w:ind w:firstLine="360" w:start="0" w:end="0"/>
      <w:outlineLvl w:val="7"/>
    </w:pPr>
    <w:rPr>
      <w:i/>
    </w:rPr>
  </w:style>
  <w:style w:type="paragraph" w:styleId="Heading9">
    <w:name w:val="heading 9"/>
    <w:basedOn w:val="HeadingBase"/>
    <w:next w:val="BodyText"/>
    <w:qFormat/>
    <w:pPr>
      <w:numPr>
        <w:ilvl w:val="8"/>
        <w:numId w:val="1"/>
      </w:numPr>
      <w:outlineLvl w:val="8"/>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rFonts w:ascii="Symbol" w:hAnsi="Symbol" w:cs="Symbol"/>
    </w:rPr>
  </w:style>
  <w:style w:type="character" w:styleId="WW8Num6z0">
    <w:name w:val="WW8Num6z0"/>
    <w:qFormat/>
    <w:rPr>
      <w:rFonts w:ascii="Symbol" w:hAnsi="Symbol" w:cs="Symbol"/>
    </w:rPr>
  </w:style>
  <w:style w:type="character" w:styleId="WW8Num6z1">
    <w:name w:val="WW8Num6z1"/>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7z0">
    <w:name w:val="WW8Num17z0"/>
    <w:qFormat/>
    <w:rPr>
      <w:rFonts w:ascii="Symbol" w:hAnsi="Symbol" w:cs="Symbol"/>
      <w:color w:val="auto"/>
    </w:rPr>
  </w:style>
  <w:style w:type="character" w:styleId="WW8Num18z0">
    <w:name w:val="WW8Num18z0"/>
    <w:qFormat/>
    <w:rPr/>
  </w:style>
  <w:style w:type="character" w:styleId="WW8NumSt1z0">
    <w:name w:val="WW8NumSt1z0"/>
    <w:qFormat/>
    <w:rPr>
      <w:rFonts w:ascii="Symbol" w:hAnsi="Symbol" w:cs="Symbol"/>
      <w:sz w:val="12"/>
    </w:rPr>
  </w:style>
  <w:style w:type="character" w:styleId="DefaultParagraphFont">
    <w:name w:val="Default Paragraph Font"/>
    <w:qFormat/>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caps/>
      <w:sz w:val="19"/>
    </w:rPr>
  </w:style>
  <w:style w:type="character" w:styleId="LineNumber">
    <w:name w:val="line number"/>
    <w:rPr>
      <w:sz w:val="18"/>
    </w:rPr>
  </w:style>
  <w:style w:type="character" w:styleId="PageNumber">
    <w:name w:val="page number"/>
    <w:rPr/>
  </w:style>
  <w:style w:type="character" w:styleId="Superscript">
    <w:name w:val="Superscript"/>
    <w:qFormat/>
    <w:rPr>
      <w:vertAlign w:val="superscript"/>
    </w:rPr>
  </w:style>
  <w:style w:type="character" w:styleId="MessageHeaderLabel">
    <w:name w:val="Message Header Label"/>
    <w:qFormat/>
    <w:rPr>
      <w:rFonts w:ascii="Times New Roman" w:hAnsi="Times New Roman" w:cs="Times New Roman"/>
      <w:b/>
      <w:strike w:val="false"/>
      <w:dstrike w:val="false"/>
      <w:position w:val="0"/>
      <w:sz w:val="24"/>
      <w:sz w:val="24"/>
      <w:vertAlign w:val="baseline"/>
    </w:rPr>
  </w:style>
  <w:style w:type="character" w:styleId="Emphasis">
    <w:name w:val="Emphasis"/>
    <w:qFormat/>
    <w:rPr>
      <w:caps/>
      <w:sz w:val="19"/>
    </w:rPr>
  </w:style>
  <w:style w:type="character" w:styleId="CommentReference">
    <w:name w:val="Comment Reference"/>
    <w:qFormat/>
    <w:rPr>
      <w:sz w:val="16"/>
    </w:rPr>
  </w:style>
  <w:style w:type="character" w:styleId="Slogan">
    <w:name w:val="Slogan"/>
    <w:basedOn w:val="DefaultParagraphFont"/>
    <w:qFormat/>
    <w:rPr>
      <w:i/>
      <w:spacing w:val="70"/>
      <w:sz w:val="21"/>
    </w:rPr>
  </w:style>
  <w:style w:type="paragraph" w:styleId="Heading">
    <w:name w:val="Heading"/>
    <w:basedOn w:val="Normal"/>
    <w:next w:val="BodyText"/>
    <w:qFormat/>
    <w:pPr>
      <w:jc w:val="center"/>
    </w:pPr>
    <w:rPr/>
  </w:style>
  <w:style w:type="paragraph" w:styleId="BodyText">
    <w:name w:val="Body Text"/>
    <w:basedOn w:val="Normal"/>
    <w:pPr>
      <w:spacing w:lineRule="atLeast" w:line="240" w:before="0" w:after="240"/>
      <w:ind w:firstLine="360" w:start="0" w:end="0"/>
      <w:jc w:val="both"/>
    </w:pPr>
    <w:rPr/>
  </w:style>
  <w:style w:type="paragraph" w:styleId="List">
    <w:name w:val="List"/>
    <w:basedOn w:val="BodyText"/>
    <w:pPr>
      <w:ind w:hanging="360" w:start="360" w:end="0"/>
    </w:pPr>
    <w:rPr/>
  </w:style>
  <w:style w:type="paragraph" w:styleId="Caption">
    <w:name w:val="caption"/>
    <w:basedOn w:val="Picture"/>
    <w:next w:val="BodyText"/>
    <w:qFormat/>
    <w:pPr>
      <w:spacing w:lineRule="atLeast" w:line="220"/>
    </w:pPr>
    <w:rPr>
      <w:i/>
      <w:sz w:val="18"/>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FootnoteBase">
    <w:name w:val="Footnote Base"/>
    <w:basedOn w:val="BodyText"/>
    <w:qFormat/>
    <w:pPr>
      <w:keepLines/>
      <w:spacing w:lineRule="atLeast" w:line="200"/>
    </w:pPr>
    <w:rPr>
      <w:sz w:val="16"/>
    </w:rPr>
  </w:style>
  <w:style w:type="paragraph" w:styleId="MessageHeader">
    <w:name w:val="Message Header"/>
    <w:basedOn w:val="BodyText"/>
    <w:qFormat/>
    <w:pPr>
      <w:keepLines/>
      <w:tabs>
        <w:tab w:val="clear" w:pos="720"/>
        <w:tab w:val="left" w:pos="1080" w:leader="none"/>
      </w:tabs>
      <w:spacing w:before="0" w:after="120"/>
      <w:ind w:hanging="1080" w:start="1080" w:end="0"/>
      <w:jc w:val="start"/>
    </w:pPr>
    <w:rPr/>
  </w:style>
  <w:style w:type="paragraph" w:styleId="BlockQuotation">
    <w:name w:val="Block Quotation"/>
    <w:basedOn w:val="BodyText"/>
    <w:qFormat/>
    <w:pPr>
      <w:keepLines/>
      <w:ind w:firstLine="360" w:start="720" w:end="72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next w:val="MessageHeaderFirst"/>
    <w:qFormat/>
    <w:pPr>
      <w:widowControl/>
      <w:pBdr>
        <w:top w:val="thinThickSmallGap" w:sz="24" w:space="8" w:color="000000"/>
        <w:bottom w:val="single" w:sz="4" w:space="8" w:color="000000"/>
      </w:pBdr>
      <w:bidi w:val="0"/>
      <w:spacing w:lineRule="auto" w:line="360" w:before="0" w:after="120"/>
    </w:pPr>
    <w:rPr>
      <w:rFonts w:ascii="Times New Roman" w:hAnsi="Times New Roman" w:eastAsia="Times New Roman" w:cs="Times New Roman"/>
      <w:i/>
      <w:color w:val="auto"/>
      <w:spacing w:val="20"/>
      <w:sz w:val="32"/>
      <w:szCs w:val="20"/>
      <w:lang w:val="en-US" w:bidi="ar-SA" w:eastAsia="zh-CN"/>
    </w:rPr>
  </w:style>
  <w:style w:type="paragraph" w:styleId="MessageHeaderFirst">
    <w:name w:val="Message Header First"/>
    <w:basedOn w:val="MessageHeader"/>
    <w:next w:val="MessageHeader"/>
    <w:qFormat/>
    <w:pPr>
      <w:spacing w:before="360" w:after="120"/>
    </w:pPr>
    <w:rPr/>
  </w:style>
  <w:style w:type="paragraph" w:styleId="EndnoteText">
    <w:name w:val="endnote text"/>
    <w:basedOn w:val="FootnoteBase"/>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ind w:hanging="0" w:start="0" w:end="-240"/>
      <w:jc w:val="center"/>
    </w:pPr>
    <w:rPr>
      <w:kern w:val="2"/>
    </w:rPr>
  </w:style>
  <w:style w:type="paragraph" w:styleId="FootnoteText">
    <w:name w:val="footnote text"/>
    <w:basedOn w:val="FootnoteBase"/>
    <w:pPr/>
    <w:rPr/>
  </w:style>
  <w:style w:type="paragraph" w:styleId="Header">
    <w:name w:val="header"/>
    <w:basedOn w:val="HeaderBase"/>
    <w:pPr>
      <w:spacing w:before="0" w:after="660"/>
      <w:ind w:hanging="0" w:start="0" w:end="0"/>
      <w:jc w:val="center"/>
    </w:pPr>
    <w:rPr>
      <w:smallCaps/>
      <w:kern w:val="2"/>
    </w:rPr>
  </w:style>
  <w:style w:type="paragraph" w:styleId="ListBullet">
    <w:name w:val="List Bullet"/>
    <w:basedOn w:val="List"/>
    <w:qFormat/>
    <w:pPr>
      <w:numPr>
        <w:ilvl w:val="0"/>
        <w:numId w:val="7"/>
      </w:numPr>
      <w:ind w:hanging="360" w:start="720" w:end="720"/>
    </w:pPr>
    <w:rPr/>
  </w:style>
  <w:style w:type="paragraph" w:styleId="ListNumber">
    <w:name w:val="List Number"/>
    <w:basedOn w:val="List"/>
    <w:qFormat/>
    <w:pPr>
      <w:numPr>
        <w:ilvl w:val="0"/>
        <w:numId w:val="8"/>
      </w:numPr>
      <w:ind w:hanging="360" w:start="720" w:end="720"/>
    </w:pPr>
    <w:rPr/>
  </w:style>
  <w:style w:type="paragraph" w:styleId="MacroText">
    <w:name w:val="Macro Text"/>
    <w:basedOn w:val="BodyText"/>
    <w:qFormat/>
    <w:pPr>
      <w:spacing w:lineRule="auto" w:line="240"/>
      <w:jc w:val="start"/>
    </w:pPr>
    <w:rPr>
      <w:rFonts w:ascii="Courier New" w:hAnsi="Courier New" w:cs="Courier New"/>
    </w:rPr>
  </w:style>
  <w:style w:type="paragraph" w:styleId="ListNumber5">
    <w:name w:val="List Number 5"/>
    <w:basedOn w:val="ListNumber"/>
    <w:qFormat/>
    <w:pPr>
      <w:ind w:hanging="360" w:start="2160" w:end="720"/>
    </w:pPr>
    <w:rPr/>
  </w:style>
  <w:style w:type="paragraph" w:styleId="Date">
    <w:name w:val="Date"/>
    <w:basedOn w:val="BodyText"/>
    <w:qFormat/>
    <w:pPr>
      <w:spacing w:before="0" w:after="0"/>
      <w:jc w:val="start"/>
    </w:pPr>
    <w:rPr/>
  </w:style>
  <w:style w:type="paragraph" w:styleId="ListNumber2">
    <w:name w:val="List Number 2"/>
    <w:basedOn w:val="ListNumber"/>
    <w:qFormat/>
    <w:pPr>
      <w:ind w:hanging="360" w:start="1080" w:end="720"/>
    </w:pPr>
    <w:rPr/>
  </w:style>
  <w:style w:type="paragraph" w:styleId="ListNumber3">
    <w:name w:val="List Number 3"/>
    <w:basedOn w:val="ListNumber"/>
    <w:qFormat/>
    <w:pPr>
      <w:ind w:hanging="360" w:start="1440" w:end="720"/>
    </w:pPr>
    <w:rPr/>
  </w:style>
  <w:style w:type="paragraph" w:styleId="ListBullet5">
    <w:name w:val="List Bullet 5"/>
    <w:basedOn w:val="List"/>
    <w:pPr>
      <w:ind w:hanging="360" w:start="1800" w:end="0"/>
    </w:pPr>
    <w:rPr/>
  </w:style>
  <w:style w:type="paragraph" w:styleId="ListBullet4">
    <w:name w:val="List Bullet 4"/>
    <w:basedOn w:val="List"/>
    <w:pPr>
      <w:ind w:hanging="360" w:start="1440" w:end="0"/>
    </w:pPr>
    <w:rPr/>
  </w:style>
  <w:style w:type="paragraph" w:styleId="ListBullet3">
    <w:name w:val="List Bullet 3"/>
    <w:basedOn w:val="List"/>
    <w:pPr>
      <w:ind w:hanging="360" w:start="1080" w:end="0"/>
    </w:pPr>
    <w:rPr/>
  </w:style>
  <w:style w:type="paragraph" w:styleId="ListBullet2">
    <w:name w:val="List Bullet 2"/>
    <w:basedOn w:val="List"/>
    <w:pPr>
      <w:ind w:hanging="360" w:start="720" w:end="0"/>
    </w:pPr>
    <w:rPr/>
  </w:style>
  <w:style w:type="paragraph" w:styleId="Closing">
    <w:name w:val="Closing"/>
    <w:basedOn w:val="Normal"/>
    <w:next w:val="SignatureName"/>
    <w:qFormat/>
    <w:pPr>
      <w:spacing w:lineRule="atLeast" w:line="220"/>
    </w:pPr>
    <w:rPr/>
  </w:style>
  <w:style w:type="paragraph" w:styleId="CommentText">
    <w:name w:val="Comment Text"/>
    <w:basedOn w:val="FootnoteBase"/>
    <w:qFormat/>
    <w:pPr/>
    <w:rPr/>
  </w:style>
  <w:style w:type="paragraph" w:styleId="BodyTextIndent">
    <w:name w:val="Body Text Indent"/>
    <w:basedOn w:val="BodyText"/>
    <w:pPr>
      <w:ind w:firstLine="360" w:start="360" w:end="0"/>
    </w:pPr>
    <w:rPr/>
  </w:style>
  <w:style w:type="paragraph" w:styleId="NormalIndent">
    <w:name w:val="Normal Indent"/>
    <w:basedOn w:val="Normal"/>
    <w:qFormat/>
    <w:pPr>
      <w:ind w:hanging="0" w:start="720" w:end="0"/>
    </w:pPr>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CompanyName">
    <w:name w:val="Company Name"/>
    <w:basedOn w:val="BodyText"/>
    <w:qFormat/>
    <w:pPr>
      <w:keepLines/>
      <w:spacing w:before="0" w:after="40"/>
      <w:ind w:hanging="0" w:start="0" w:end="0"/>
      <w:jc w:val="center"/>
    </w:pPr>
    <w:rPr>
      <w:caps/>
      <w:spacing w:val="75"/>
    </w:rPr>
  </w:style>
  <w:style w:type="paragraph" w:styleId="ReturnAddress">
    <w:name w:val="Return Address"/>
    <w:qFormat/>
    <w:pPr>
      <w:widowControl/>
      <w:tabs>
        <w:tab w:val="clear" w:pos="720"/>
        <w:tab w:val="left" w:pos="2160" w:leader="none"/>
      </w:tabs>
      <w:bidi w:val="0"/>
      <w:spacing w:lineRule="atLeast" w:line="240"/>
      <w:ind w:hanging="0" w:start="0" w:end="-240"/>
      <w:jc w:val="center"/>
    </w:pPr>
    <w:rPr>
      <w:rFonts w:ascii="Garamond" w:hAnsi="Garamond" w:eastAsia="Times New Roman" w:cs="Garamond"/>
      <w:caps/>
      <w:color w:val="auto"/>
      <w:spacing w:val="30"/>
      <w:sz w:val="15"/>
      <w:szCs w:val="20"/>
      <w:lang w:val="en-US" w:bidi="ar-SA" w:eastAsia="zh-CN"/>
    </w:rPr>
  </w:style>
  <w:style w:type="paragraph" w:styleId="Enclosure">
    <w:name w:val="Enclosure"/>
    <w:basedOn w:val="BodyText"/>
    <w:next w:val="Normal"/>
    <w:qFormat/>
    <w:pPr>
      <w:keepLines/>
      <w:spacing w:before="220" w:after="240"/>
      <w:ind w:hanging="0" w:start="0" w:end="0"/>
    </w:pPr>
    <w:rPr/>
  </w:style>
  <w:style w:type="paragraph" w:styleId="ReferenceInitials">
    <w:name w:val="Reference Initials"/>
    <w:basedOn w:val="BodyText"/>
    <w:next w:val="Enclosure"/>
    <w:qFormat/>
    <w:pPr>
      <w:keepNext w:val="true"/>
      <w:keepLines/>
      <w:spacing w:before="0" w:after="0"/>
    </w:pPr>
    <w:rPr/>
  </w:style>
  <w:style w:type="paragraph" w:styleId="Signature">
    <w:name w:val="Signature"/>
    <w:basedOn w:val="BodyText"/>
    <w:next w:val="SignatureJobTitle"/>
    <w:pPr>
      <w:keepNext w:val="true"/>
      <w:keepLines/>
      <w:spacing w:before="660" w:after="0"/>
    </w:pPr>
    <w:rPr/>
  </w:style>
  <w:style w:type="paragraph" w:styleId="SignatureJobTitle">
    <w:name w:val="Signature Job Title"/>
    <w:basedOn w:val="Signature"/>
    <w:next w:val="ReferenceInitials"/>
    <w:qFormat/>
    <w:pPr>
      <w:spacing w:before="0" w:after="0"/>
      <w:ind w:hanging="0" w:start="0" w:end="0"/>
    </w:pPr>
    <w:rPr/>
  </w:style>
  <w:style w:type="paragraph" w:styleId="SignatureName">
    <w:name w:val="Signature Name"/>
    <w:basedOn w:val="Signature"/>
    <w:next w:val="SignatureJobTitle"/>
    <w:qFormat/>
    <w:pPr>
      <w:ind w:hanging="0" w:start="0" w:end="0"/>
    </w:pPr>
    <w:rPr/>
  </w:style>
  <w:style w:type="paragraph" w:styleId="MessageHeaderLast">
    <w:name w:val="Message Header Last"/>
    <w:basedOn w:val="MessageHeader"/>
    <w:next w:val="BodyText"/>
    <w:qFormat/>
    <w:pPr>
      <w:pBdr>
        <w:bottom w:val="single" w:sz="6" w:space="18" w:color="808080"/>
      </w:pBdr>
      <w:spacing w:before="0" w:after="360"/>
    </w:pPr>
    <w:rPr/>
  </w:style>
  <w:style w:type="paragraph" w:styleId="EnvelopeAddress">
    <w:name w:val="envelope address"/>
    <w:basedOn w:val="Normal"/>
    <w:pPr>
      <w:ind w:hanging="0" w:start="2880" w:end="0"/>
    </w:pPr>
    <w:rPr>
      <w:sz w:val="24"/>
    </w:rPr>
  </w:style>
  <w:style w:type="paragraph" w:styleId="EnvelopeReturn">
    <w:name w:val="envelope return"/>
    <w:basedOn w:val="Normal"/>
    <w:pPr/>
    <w:rPr/>
  </w:style>
  <w:style w:type="paragraph" w:styleId="ListNumber4">
    <w:name w:val="List Number 4"/>
    <w:basedOn w:val="ListNumber"/>
    <w:qFormat/>
    <w:pPr>
      <w:ind w:hanging="360" w:start="1800" w:end="720"/>
    </w:pPr>
    <w:rPr/>
  </w:style>
  <w:style w:type="paragraph" w:styleId="ListBullet51">
    <w:name w:val="List Bullet 51"/>
    <w:basedOn w:val="ListBullet"/>
    <w:qFormat/>
    <w:pPr>
      <w:ind w:hanging="360" w:start="2160" w:end="720"/>
    </w:pPr>
    <w:rPr/>
  </w:style>
  <w:style w:type="paragraph" w:styleId="ListBullet21">
    <w:name w:val="List Bullet 21"/>
    <w:basedOn w:val="ListBullet"/>
    <w:qFormat/>
    <w:pPr>
      <w:ind w:hanging="360" w:start="1080" w:end="720"/>
    </w:pPr>
    <w:rPr/>
  </w:style>
  <w:style w:type="paragraph" w:styleId="ListBullet31">
    <w:name w:val="List Bullet 31"/>
    <w:basedOn w:val="ListBullet"/>
    <w:qFormat/>
    <w:pPr>
      <w:ind w:hanging="360" w:start="1440" w:end="720"/>
    </w:pPr>
    <w:rPr/>
  </w:style>
  <w:style w:type="paragraph" w:styleId="ListBullet41">
    <w:name w:val="List Bullet 41"/>
    <w:basedOn w:val="ListBullet"/>
    <w:qFormat/>
    <w:pPr>
      <w:ind w:hanging="360" w:start="1800" w:end="720"/>
    </w:pPr>
    <w:rPr/>
  </w:style>
  <w:style w:type="paragraph" w:styleId="BULLET">
    <w:name w:val="BULLET"/>
    <w:basedOn w:val="BodyText"/>
    <w:qFormat/>
    <w:pPr>
      <w:numPr>
        <w:ilvl w:val="0"/>
        <w:numId w:val="6"/>
      </w:numPr>
      <w:tabs>
        <w:tab w:val="clear" w:pos="720"/>
        <w:tab w:val="left" w:pos="1440" w:leader="none"/>
      </w:tabs>
      <w:ind w:firstLine="360" w:start="1440" w:end="0"/>
      <w:jc w:val="start"/>
    </w:pPr>
    <w:rPr/>
  </w:style>
  <w:style w:type="paragraph" w:styleId="SUBBULLET">
    <w:name w:val="SUB BULLET"/>
    <w:basedOn w:val="BodyText"/>
    <w:qFormat/>
    <w:pPr>
      <w:numPr>
        <w:ilvl w:val="0"/>
        <w:numId w:val="5"/>
      </w:numPr>
      <w:tabs>
        <w:tab w:val="clear" w:pos="720"/>
        <w:tab w:val="left" w:pos="1800" w:leader="none"/>
      </w:tabs>
      <w:ind w:firstLine="360" w:start="1800" w:end="0"/>
      <w:jc w:val="start"/>
    </w:pPr>
    <w:rPr/>
  </w:style>
  <w:style w:type="paragraph" w:styleId="SUBSUBBULLET">
    <w:name w:val="SUB SUB BULLET"/>
    <w:basedOn w:val="SUBBULLET"/>
    <w:qFormat/>
    <w:pPr>
      <w:numPr>
        <w:ilvl w:val="0"/>
        <w:numId w:val="3"/>
      </w:numPr>
      <w:tabs>
        <w:tab w:val="left" w:pos="1800" w:leader="none"/>
        <w:tab w:val="left" w:pos="2160" w:leader="none"/>
      </w:tabs>
      <w:ind w:firstLine="360" w:start="2160" w:end="0"/>
    </w:pPr>
    <w:rPr/>
  </w:style>
  <w:style w:type="paragraph" w:styleId="HeaderLeft">
    <w:name w:val="Header Left"/>
    <w:basedOn w:val="Header"/>
    <w:qFormat/>
    <w:pPr>
      <w:suppressLineNumbers/>
      <w:tabs>
        <w:tab w:val="clear" w:pos="4320"/>
        <w:tab w:val="clear" w:pos="8640"/>
        <w:tab w:val="center" w:pos="4824" w:leader="none"/>
        <w:tab w:val="right" w:pos="9648"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Nb memo</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2001-05-09T14:35:00Z</dcterms:created>
  <dc:creator>David Segal</dc:creator>
  <dc:description/>
  <dc:language>en-CA</dc:language>
  <cp:lastModifiedBy>logistics</cp:lastModifiedBy>
  <cp:lastPrinted>2001-05-09T15:58:00Z</cp:lastPrinted>
  <dcterms:modified xsi:type="dcterms:W3CDTF">2001-05-15T14:15:00Z</dcterms:modified>
  <cp:revision>16</cp:revision>
  <dc:subject/>
  <dc:title>Helps you design a customized memo</dc:title>
</cp:coreProperties>
</file>