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footerReference w:type="even" r:id="rId2"/>
          <w:footerReference w:type="default" r:id="rId3"/>
          <w:type w:val="nextPage"/>
          <w:pgSz w:w="12240" w:h="15840"/>
          <w:pgMar w:left="1987" w:right="540" w:gutter="0" w:header="0" w:top="1440" w:footer="360" w:bottom="2466"/>
          <w:pgNumType w:fmt="decimal"/>
          <w:formProt w:val="false"/>
          <w:textDirection w:val="lrTb"/>
          <w:docGrid w:type="default" w:linePitch="360" w:charSpace="0"/>
        </w:sectPr>
        <w:pStyle w:val="Normal"/>
        <w:widowControl/>
        <w:spacing w:lineRule="exact" w:line="234"/>
        <w:ind w:end="0"/>
        <w:rPr>
          <w:sz w:val="24"/>
        </w:rPr>
      </w:pPr>
      <w:r>
        <w:rPr>
          <w:b/>
          <w:vanish w:val="false"/>
        </w:rPr>
        <w:commentReference w:id="0"/>
      </w:r>
    </w:p>
    <w:p>
      <w:pPr>
        <w:pStyle w:val="Normal"/>
        <w:widowControl/>
        <w:spacing w:lineRule="auto" w:line="240"/>
        <w:rPr>
          <w:sz w:val="26"/>
        </w:rPr>
      </w:pPr>
      <w:bookmarkStart w:id="0" w:name="QuickMark_1"/>
      <w:bookmarkEnd w:id="0"/>
      <w:r>
        <w:rPr>
          <w:sz w:val="26"/>
        </w:rPr>
      </w:r>
    </w:p>
    <w:p>
      <w:pPr>
        <w:pStyle w:val="Normal"/>
        <w:widowControl/>
        <w:tabs>
          <w:tab w:val="clear" w:pos="720"/>
          <w:tab w:val="center" w:pos="4857" w:leader="none"/>
        </w:tabs>
        <w:spacing w:lineRule="auto" w:line="240"/>
        <w:rPr>
          <w:sz w:val="24"/>
        </w:rPr>
      </w:pPr>
      <w:r>
        <w:rPr>
          <w:sz w:val="24"/>
        </w:rPr>
        <w:tab/>
        <w:t>UNITED STATES OF AMERICA</w:t>
      </w:r>
    </w:p>
    <w:p>
      <w:pPr>
        <w:pStyle w:val="Normal"/>
        <w:widowControl/>
        <w:tabs>
          <w:tab w:val="clear" w:pos="720"/>
          <w:tab w:val="center" w:pos="4857" w:leader="none"/>
        </w:tabs>
        <w:spacing w:lineRule="auto" w:line="240"/>
        <w:rPr>
          <w:sz w:val="24"/>
        </w:rPr>
      </w:pPr>
      <w:r>
        <w:rPr>
          <w:sz w:val="24"/>
        </w:rPr>
        <w:tab/>
        <w:t>BEFORE THE</w:t>
      </w:r>
    </w:p>
    <w:p>
      <w:pPr>
        <w:pStyle w:val="Normal"/>
        <w:widowControl/>
        <w:tabs>
          <w:tab w:val="clear" w:pos="720"/>
          <w:tab w:val="center" w:pos="4857" w:leader="none"/>
        </w:tabs>
        <w:spacing w:lineRule="auto" w:line="240"/>
        <w:rPr>
          <w:sz w:val="24"/>
        </w:rPr>
      </w:pPr>
      <w:r>
        <w:rPr>
          <w:sz w:val="24"/>
        </w:rPr>
        <w:tab/>
        <w:t>FEDERAL ENERGY REGULATORY COMMISSION</w:t>
      </w:r>
    </w:p>
    <w:p>
      <w:pPr>
        <w:pStyle w:val="Normal"/>
        <w:widowControl/>
        <w:spacing w:lineRule="auto" w:line="240"/>
        <w:rPr>
          <w:sz w:val="24"/>
        </w:rPr>
      </w:pPr>
      <w:r>
        <w:rPr>
          <w:sz w:val="24"/>
        </w:rPr>
      </w:r>
    </w:p>
    <w:tbl>
      <w:tblPr>
        <w:tblW w:w="9712" w:type="dxa"/>
        <w:jc w:val="start"/>
        <w:tblInd w:w="119" w:type="dxa"/>
        <w:tblLayout w:type="fixed"/>
        <w:tblCellMar>
          <w:top w:w="0" w:type="dxa"/>
          <w:start w:w="119" w:type="dxa"/>
          <w:bottom w:w="0" w:type="dxa"/>
          <w:end w:w="119" w:type="dxa"/>
        </w:tblCellMar>
      </w:tblPr>
      <w:tblGrid>
        <w:gridCol w:w="4856"/>
        <w:gridCol w:w="4856"/>
      </w:tblGrid>
      <w:tr>
        <w:trPr/>
        <w:tc>
          <w:tcPr>
            <w:tcW w:w="4856" w:type="dxa"/>
            <w:tcBorders>
              <w:bottom w:val="single" w:sz="2" w:space="0" w:color="000000"/>
              <w:end w:val="single" w:sz="2" w:space="0" w:color="000000"/>
            </w:tcBorders>
          </w:tcPr>
          <w:p>
            <w:pPr>
              <w:pStyle w:val="Normal"/>
              <w:widowControl/>
              <w:snapToGrid w:val="false"/>
              <w:spacing w:lineRule="auto" w:line="240" w:before="100" w:after="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t>BPA 2002 Wholesale Power Rate Adjustment Proceeding</w:t>
            </w:r>
          </w:p>
          <w:p>
            <w:pPr>
              <w:pStyle w:val="Normal"/>
              <w:widowControl/>
              <w:spacing w:lineRule="auto" w:line="240" w:before="0" w:after="47"/>
              <w:rPr>
                <w:sz w:val="24"/>
              </w:rPr>
            </w:pPr>
            <w:r>
              <w:rPr>
                <w:sz w:val="24"/>
              </w:rPr>
            </w:r>
          </w:p>
        </w:tc>
        <w:tc>
          <w:tcPr>
            <w:tcW w:w="4856" w:type="dxa"/>
            <w:tcBorders>
              <w:start w:val="single" w:sz="2" w:space="0" w:color="000000"/>
            </w:tcBorders>
          </w:tcPr>
          <w:p>
            <w:pPr>
              <w:pStyle w:val="Normal"/>
              <w:widowControl/>
              <w:snapToGrid w:val="false"/>
              <w:spacing w:lineRule="auto" w:line="240" w:before="100" w:after="0"/>
              <w:rPr>
                <w:sz w:val="24"/>
              </w:rPr>
            </w:pPr>
            <w:r>
              <w:rPr>
                <w:sz w:val="24"/>
              </w:rPr>
            </w:r>
          </w:p>
          <w:p>
            <w:pPr>
              <w:pStyle w:val="Normal"/>
              <w:widowControl/>
              <w:spacing w:lineRule="auto" w:line="240"/>
              <w:rPr>
                <w:sz w:val="24"/>
              </w:rPr>
            </w:pPr>
            <w:r>
              <w:rPr>
                <w:sz w:val="24"/>
              </w:rPr>
            </w:r>
          </w:p>
          <w:p>
            <w:pPr>
              <w:pStyle w:val="Normal"/>
              <w:widowControl/>
              <w:spacing w:lineRule="auto" w:line="240"/>
              <w:rPr>
                <w:sz w:val="24"/>
              </w:rPr>
            </w:pPr>
            <w:r>
              <w:rPr>
                <w:sz w:val="24"/>
              </w:rPr>
              <w:t>BPA Docket No. WP-02</w:t>
            </w:r>
          </w:p>
          <w:p>
            <w:pPr>
              <w:pStyle w:val="Normal"/>
              <w:widowControl/>
              <w:spacing w:lineRule="auto" w:line="240" w:before="0" w:after="47"/>
              <w:rPr>
                <w:sz w:val="24"/>
              </w:rPr>
            </w:pPr>
            <w:r>
              <w:rPr>
                <w:sz w:val="24"/>
              </w:rPr>
            </w:r>
          </w:p>
        </w:tc>
      </w:tr>
    </w:tbl>
    <w:p>
      <w:pPr>
        <w:pStyle w:val="Normal"/>
        <w:widowControl/>
        <w:spacing w:lineRule="auto" w:line="240"/>
        <w:rPr>
          <w:b/>
          <w:sz w:val="24"/>
        </w:rPr>
      </w:pPr>
      <w:r>
        <w:rPr>
          <w:b/>
          <w:sz w:val="24"/>
        </w:rPr>
      </w:r>
    </w:p>
    <w:p>
      <w:pPr>
        <w:pStyle w:val="Normal"/>
        <w:widowControl/>
        <w:spacing w:lineRule="auto" w:line="240"/>
        <w:rPr>
          <w:b/>
          <w:sz w:val="24"/>
        </w:rPr>
      </w:pPr>
      <w:r>
        <w:rPr>
          <w:b/>
          <w:sz w:val="24"/>
        </w:rPr>
      </w:r>
    </w:p>
    <w:p>
      <w:pPr>
        <w:pStyle w:val="Normal"/>
        <w:widowControl/>
        <w:spacing w:lineRule="auto" w:line="240"/>
        <w:rPr>
          <w:b/>
          <w:sz w:val="24"/>
        </w:rPr>
      </w:pPr>
      <w:r>
        <w:rPr>
          <w:b/>
          <w:sz w:val="24"/>
        </w:rPr>
      </w:r>
    </w:p>
    <w:p>
      <w:pPr>
        <w:pStyle w:val="Normal"/>
        <w:widowControl/>
        <w:tabs>
          <w:tab w:val="clear" w:pos="720"/>
          <w:tab w:val="center" w:pos="4857" w:leader="none"/>
        </w:tabs>
        <w:spacing w:lineRule="auto" w:line="240"/>
        <w:rPr>
          <w:b/>
          <w:sz w:val="24"/>
        </w:rPr>
      </w:pPr>
      <w:r>
        <w:rPr>
          <w:b/>
          <w:sz w:val="24"/>
        </w:rPr>
        <w:tab/>
        <w:t xml:space="preserve">RESPONSE OF THE SPRINGFIELD UTILITY BOARD </w:t>
      </w:r>
    </w:p>
    <w:p>
      <w:pPr>
        <w:pStyle w:val="Normal"/>
        <w:widowControl/>
        <w:spacing w:lineRule="auto" w:line="240"/>
        <w:rPr>
          <w:b/>
          <w:sz w:val="24"/>
        </w:rPr>
      </w:pPr>
      <w:r>
        <w:rPr>
          <w:b/>
          <w:sz w:val="24"/>
        </w:rPr>
      </w:r>
    </w:p>
    <w:p>
      <w:pPr>
        <w:pStyle w:val="Normal"/>
        <w:widowControl/>
        <w:tabs>
          <w:tab w:val="clear" w:pos="720"/>
          <w:tab w:val="center" w:pos="4857" w:leader="none"/>
        </w:tabs>
        <w:spacing w:lineRule="auto" w:line="240"/>
        <w:rPr>
          <w:b/>
          <w:sz w:val="24"/>
        </w:rPr>
      </w:pPr>
      <w:r>
        <w:rPr>
          <w:b/>
          <w:sz w:val="24"/>
        </w:rPr>
        <w:tab/>
        <w:t xml:space="preserve">TO THE </w:t>
      </w:r>
    </w:p>
    <w:p>
      <w:pPr>
        <w:pStyle w:val="Normal"/>
        <w:widowControl/>
        <w:spacing w:lineRule="auto" w:line="240"/>
        <w:rPr>
          <w:b/>
          <w:sz w:val="24"/>
        </w:rPr>
      </w:pPr>
      <w:r>
        <w:rPr>
          <w:b/>
          <w:sz w:val="24"/>
        </w:rPr>
      </w:r>
    </w:p>
    <w:p>
      <w:pPr>
        <w:pStyle w:val="Normal"/>
        <w:widowControl/>
        <w:tabs>
          <w:tab w:val="clear" w:pos="720"/>
          <w:tab w:val="center" w:pos="4857" w:leader="none"/>
        </w:tabs>
        <w:spacing w:lineRule="auto" w:line="240"/>
        <w:rPr>
          <w:sz w:val="24"/>
        </w:rPr>
      </w:pPr>
      <w:r>
        <w:rPr>
          <w:b/>
          <w:sz w:val="24"/>
        </w:rPr>
        <w:tab/>
        <w:t>MOTION OF THE DSIs AND ALCOA FOR AN EVIDENTIARY HEARING</w:t>
      </w:r>
    </w:p>
    <w:p>
      <w:pPr>
        <w:pStyle w:val="Normal"/>
        <w:widowControl/>
        <w:spacing w:lineRule="auto" w:line="240"/>
        <w:rPr>
          <w:sz w:val="24"/>
        </w:rPr>
      </w:pPr>
      <w:r>
        <w:rPr>
          <w:sz w:val="24"/>
        </w:rPr>
      </w:r>
    </w:p>
    <w:p>
      <w:pPr>
        <w:pStyle w:val="Normal"/>
        <w:widowControl/>
        <w:spacing w:lineRule="auto" w:line="360"/>
        <w:jc w:val="center"/>
        <w:rPr>
          <w:sz w:val="24"/>
        </w:rPr>
      </w:pPr>
      <w:r>
        <w:rPr>
          <w:sz w:val="24"/>
        </w:rPr>
      </w:r>
    </w:p>
    <w:p>
      <w:pPr>
        <w:pStyle w:val="Normal"/>
        <w:widowControl/>
        <w:spacing w:lineRule="auto" w:line="480"/>
        <w:rPr/>
      </w:pPr>
      <w:r>
        <w:rPr>
          <w:sz w:val="24"/>
        </w:rPr>
        <w:tab/>
        <w:t xml:space="preserve">The Springfield Utility Board (“SUB”) submits the within response to the motion filed on April 3, 2001, on behalf of ATOFINA Chemicals, Inc., Columbia Falls Aluminum Company, Goldendale Aluminum Company, Kaiser Aluminum &amp; Chemical Corp., Northwest Aluminum Company and Reynolds Metals Company, collectively referred to herein as the direct service industrial customers (DSIs”) and Alcoa, Inc., for an order establishing an evidentiary hearing to determine the scope and nature of alleged violations of Rule 1017 dealing with </w:t>
      </w:r>
      <w:r>
        <w:rPr>
          <w:i/>
          <w:sz w:val="24"/>
        </w:rPr>
        <w:t>ex parte</w:t>
      </w:r>
      <w:r>
        <w:rPr>
          <w:sz w:val="24"/>
        </w:rPr>
        <w:t xml:space="preserve"> communications.</w:t>
      </w:r>
    </w:p>
    <w:p>
      <w:pPr>
        <w:pStyle w:val="Normal"/>
        <w:widowControl/>
        <w:spacing w:lineRule="auto" w:line="480"/>
        <w:rPr/>
      </w:pPr>
      <w:r>
        <w:rPr>
          <w:sz w:val="24"/>
        </w:rPr>
        <w:tab/>
        <w:t xml:space="preserve">In their motion, the DSIs wrongfully accuse a number of BPA rate staff members and members of the Joint Customer Group of engaging in impermissible </w:t>
      </w:r>
      <w:r>
        <w:rPr>
          <w:i/>
          <w:sz w:val="24"/>
        </w:rPr>
        <w:t>ex parte</w:t>
      </w:r>
      <w:r>
        <w:rPr>
          <w:sz w:val="24"/>
        </w:rPr>
        <w:t xml:space="preserve"> communications during January and February of 2001.  In particular, the DSIs note at page 9 of their motion that Jeff Nelson of the Springfield Utility Board communicated with Mr. Lovell from BPA by e-mail on February 28, 2001.  It is clear from the text of these communications that Messrs. Nelson and Lovell were doing no more than attempting to clarify certain technical and financial aspects pertaining to issues discussed in publically noticed meetings, each of which was attended by the DSIs.  This type of contact is clearly permitted by Rule 1017(b)(6).  In short, the e-mail communications by and between Mr. Nelson and Mr. Lovell on February 28 did not violate the subject </w:t>
      </w:r>
      <w:r>
        <w:rPr>
          <w:i/>
          <w:sz w:val="24"/>
        </w:rPr>
        <w:t>ex parte</w:t>
      </w:r>
      <w:r>
        <w:rPr>
          <w:sz w:val="24"/>
        </w:rPr>
        <w:t xml:space="preserve"> rule, and the DSI’s motion is not well-taken.</w:t>
      </w:r>
    </w:p>
    <w:p>
      <w:pPr>
        <w:pStyle w:val="Normal"/>
        <w:widowControl/>
        <w:spacing w:lineRule="auto" w:line="480"/>
        <w:rPr>
          <w:sz w:val="24"/>
        </w:rPr>
      </w:pPr>
      <w:r>
        <w:rPr>
          <w:sz w:val="24"/>
        </w:rPr>
        <w:tab/>
        <w:t xml:space="preserve">In further response to the DSIs’ motion, SUB adopts by reference and incorporates herein the facts and arguments advanced by the Western Public Agencies Group, the Pacific Northwest Generating Cooperative and the Public Power Council in their respective responses to the same motion.  </w:t>
      </w:r>
    </w:p>
    <w:p>
      <w:pPr>
        <w:pStyle w:val="Normal"/>
        <w:widowControl/>
        <w:spacing w:lineRule="auto" w:line="480"/>
        <w:rPr>
          <w:sz w:val="24"/>
        </w:rPr>
      </w:pPr>
      <w:r>
        <w:rPr>
          <w:sz w:val="24"/>
        </w:rPr>
      </w:r>
    </w:p>
    <w:p>
      <w:pPr>
        <w:pStyle w:val="BodyText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240"/>
        <w:ind w:end="0"/>
        <w:rPr/>
      </w:pPr>
      <w:r>
        <w:rPr/>
        <w:t>Respectfully submitted this 9th day of April, 2001.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240"/>
        <w:rPr>
          <w:smallCaps/>
          <w:sz w:val="24"/>
        </w:rPr>
      </w:pPr>
      <w:r>
        <w:rPr>
          <w:smallCaps/>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240"/>
        <w:rPr>
          <w:sz w:val="24"/>
        </w:rPr>
      </w:pPr>
      <w:r>
        <w:rPr>
          <w:smallCaps/>
          <w:sz w:val="24"/>
        </w:rPr>
        <w:tab/>
        <w:tab/>
        <w:tab/>
        <w:tab/>
        <w:tab/>
        <w:tab/>
        <w:t>Mersereau &amp; Shannon, LP</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24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tab/>
        <w:tab/>
        <w:tab/>
        <w:tab/>
        <w:tab/>
        <w:tab/>
        <w:t>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tab/>
        <w:tab/>
        <w:tab/>
        <w:tab/>
        <w:tab/>
        <w:tab/>
        <w:t>Peter R. Mersereau, OSB 73202</w:t>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tab/>
        <w:tab/>
        <w:tab/>
        <w:tab/>
        <w:tab/>
        <w:tab/>
        <w:t>Attorney for the Springfield Utility Board</w:t>
        <w:tab/>
      </w:r>
    </w:p>
    <w:p>
      <w:pPr>
        <w:pStyle w:val="BodyText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r>
    </w:p>
    <w:p>
      <w:pPr>
        <w:pStyle w:val="BodyText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120"/>
        <w:jc w:val="center"/>
        <w:rPr/>
      </w:pPr>
      <w:r>
        <w:rPr/>
      </w:r>
      <w:r>
        <w:br w:type="page"/>
      </w:r>
    </w:p>
    <w:p>
      <w:pPr>
        <w:pStyle w:val="BodyText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before="0" w:after="120"/>
        <w:jc w:val="center"/>
        <w:rPr>
          <w:b/>
          <w:u w:val="single"/>
        </w:rPr>
      </w:pPr>
      <w:r>
        <w:rPr>
          <w:b/>
          <w:u w:val="single"/>
        </w:rPr>
        <w:t>CERTIFICATE OF SERVICE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before="0" w:after="120"/>
        <w:rPr>
          <w:b/>
          <w:sz w:val="24"/>
          <w:u w:val="single"/>
        </w:rPr>
      </w:pPr>
      <w:r>
        <w:rPr>
          <w:b/>
          <w:sz w:val="24"/>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20"/>
        <w:rPr/>
      </w:pPr>
      <w:r>
        <w:rPr>
          <w:sz w:val="24"/>
        </w:rPr>
        <w:tab/>
        <w:t xml:space="preserve">I hereby certify that I have this day caused the foregoing </w:t>
      </w:r>
      <w:r>
        <w:rPr>
          <w:b/>
          <w:smallCaps/>
          <w:sz w:val="24"/>
        </w:rPr>
        <w:t xml:space="preserve">Response Of The Springfield Utility Board To The Motion Of The DSIs And Alcoa For An Evidentiary Hearing  </w:t>
      </w:r>
      <w:r>
        <w:rPr>
          <w:sz w:val="24"/>
        </w:rPr>
        <w:t xml:space="preserve"> to be served, via e-mail, upon each person designated on the official service list compiled by the Secretary in this proceeding.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20"/>
        <w:rPr>
          <w:sz w:val="24"/>
        </w:rPr>
      </w:pPr>
      <w:r>
        <w:rPr>
          <w:sz w:val="24"/>
        </w:rPr>
        <w:tab/>
        <w:t>DATED at Portland, Oregon as of the 9th day of April, 2001.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2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tab/>
        <w:tab/>
        <w:tab/>
        <w:tab/>
        <w:tab/>
        <w:tab/>
        <w:t>________________________________</w:t>
        <w:tab/>
        <w:tab/>
        <w:tab/>
        <w:tab/>
        <w:tab/>
        <w:tab/>
        <w:tab/>
        <w:t>Peter R. Mersereau, OSB 73202</w:t>
      </w:r>
    </w:p>
    <w:p>
      <w:pPr>
        <w:pStyle w:val="BodyText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tab/>
        <w:tab/>
        <w:tab/>
        <w:tab/>
        <w:tab/>
        <w:tab/>
        <w:t xml:space="preserve">Attorney for the Springfield Utility Board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mallCaps/>
          <w:sz w:val="24"/>
        </w:rPr>
      </w:pPr>
      <w:r>
        <w:rPr>
          <w:smallCaps/>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mallCaps/>
          <w:sz w:val="24"/>
        </w:rPr>
      </w:pPr>
      <w:r>
        <w:rPr>
          <w:smallCaps/>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mallCaps/>
          <w:sz w:val="24"/>
        </w:rPr>
      </w:pPr>
      <w:r>
        <w:rPr>
          <w:smallCaps/>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mallCaps/>
          <w:sz w:val="24"/>
        </w:rPr>
      </w:pPr>
      <w:r>
        <w:rPr>
          <w:smallCaps/>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mallCaps/>
          <w:sz w:val="24"/>
        </w:rPr>
        <w:tab/>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64" w:before="0" w:after="0"/>
        <w:rPr>
          <w:sz w:val="24"/>
        </w:rPr>
      </w:pPr>
      <w:r>
        <w:rPr>
          <w:sz w:val="24"/>
        </w:rPr>
        <w:tab/>
        <w:tab/>
        <w:tab/>
        <w:tab/>
        <w:tab/>
      </w:r>
    </w:p>
    <w:sectPr>
      <w:footerReference w:type="even" r:id="rId4"/>
      <w:footerReference w:type="default" r:id="rId5"/>
      <w:footerReference w:type="first" r:id="rId6"/>
      <w:type w:val="nextPage"/>
      <w:pgSz w:orient="landscape" w:w="12240" w:h="15840"/>
      <w:pgMar w:left="1987" w:right="540" w:gutter="0" w:header="0" w:top="1440" w:footer="360" w:bottom="2466"/>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Watermark">
    <w:p>
      <w:pPr>
        <w:tabs>
          <w:tab w:val="right" w:pos="-248" w:leader="none"/>
        </w:tabs>
        <w:overflowPunct w:val="false"/>
        <w:bidi w:val="0"/>
        <w:spacing w:before="0" w:after="0" w:lineRule="exact" w:line="234"/>
        <w:rPr/>
      </w:pPr>
      <w:r>
        <w:annotationRef/>
      </w: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2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3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t xml:space="preserve">  </w:t>
      </w: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4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5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6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7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8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9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10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11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12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13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14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15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16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17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18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19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20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21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22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23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24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25  </w:t>
      </w:r>
    </w:p>
    <w:p>
      <w:pPr>
        <w:tabs>
          <w:tab w:val="right" w:pos="-248" w:leader="none"/>
        </w:tabs>
        <w:overflowPunct w:val="false"/>
        <w:bidi w:val="0"/>
        <w:spacing w:before="0" w:after="0" w:lineRule="exact" w:line="234"/>
        <w:rPr/>
      </w:pPr>
      <w:r>
        <w:rPr>
          <w:rFonts w:ascii="Times New Roman" w:hAnsi="Times New Roman" w:eastAsia="Times New Roman" w:cs="Times New Roman"/>
          <w:color w:val="000000"/>
          <w:sz w:val="24"/>
          <w:szCs w:val="20"/>
          <w:lang w:bidi="en-US" w:eastAsia="en-US" w:val="en-US"/>
        </w:rPr>
      </w:r>
      <w:r>
        <w:rPr>
          <w:rFonts w:ascii="Times New Roman" w:hAnsi="Times New Roman" w:eastAsia="Times New Roman" w:cs="Times New Roman"/>
          <w:color w:val="000000"/>
          <w:sz w:val="24"/>
          <w:szCs w:val="20"/>
          <w:lang w:bidi="en-US" w:eastAsia="en-US" w:val="en-US"/>
        </w:rPr>
        <w:t xml:space="preserve">26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64" w:before="0" w:after="0"/>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hanging="720" w:start="720" w:end="0"/>
      <w:rPr>
        <w:sz w:val="24"/>
      </w:rPr>
    </w:pPr>
    <w:r>
      <w:rPr>
        <w:sz w:val="18"/>
      </w:rPr>
      <w:t xml:space="preserve">Page </w:t>
    </w:r>
    <w:r>
      <w:rPr>
        <w:sz w:val="18"/>
      </w:rPr>
      <w:fldChar w:fldCharType="begin"/>
    </w:r>
    <w:r>
      <w:rPr>
        <w:sz w:val="18"/>
      </w:rPr>
      <w:instrText xml:space="preserve"> PAGE \* ARABIC </w:instrText>
    </w:r>
    <w:r>
      <w:rPr>
        <w:sz w:val="18"/>
      </w:rPr>
      <w:fldChar w:fldCharType="separate"/>
    </w:r>
    <w:r>
      <w:rPr>
        <w:sz w:val="18"/>
      </w:rPr>
      <w:t>0</w:t>
    </w:r>
    <w:r>
      <w:rPr>
        <w:sz w:val="18"/>
      </w:rPr>
      <w:fldChar w:fldCharType="end"/>
    </w:r>
    <w:r>
      <w:rPr>
        <w:sz w:val="18"/>
      </w:rPr>
      <w:t xml:space="preserve">   -</w:t>
    </w:r>
    <w:r>
      <w:rPr>
        <w:smallCaps/>
        <w:sz w:val="18"/>
      </w:rPr>
      <w:t xml:space="preserve"> </w:t>
    </w:r>
    <w:r>
      <w:rPr>
        <w:sz w:val="18"/>
      </w:rPr>
      <w:t xml:space="preserve">  </w:t>
    </w:r>
    <w:r>
      <w:rPr>
        <w:smallCaps/>
        <w:sz w:val="18"/>
      </w:rPr>
      <w:t xml:space="preserve">Response Of The Springfield Utility Board </w:t>
    </w:r>
  </w:p>
  <w:p>
    <w:pPr>
      <w:pStyle w:val="Normal"/>
      <w:widowControl w:val="false"/>
      <w:tabs>
        <w:tab w:val="clear" w:pos="720"/>
        <w:tab w:val="center" w:pos="4857" w:leader="none"/>
      </w:tabs>
      <w:spacing w:lineRule="auto" w:line="180" w:before="0" w:after="0"/>
      <w:rPr>
        <w:smallCaps/>
        <w:sz w:val="14"/>
      </w:rPr>
    </w:pPr>
    <w:r>
      <w:rPr>
        <w:sz w:val="24"/>
      </w:rPr>
      <w:tab/>
    </w:r>
    <w:r>
      <w:rPr>
        <w:smallCaps/>
        <w:sz w:val="18"/>
      </w:rPr>
      <w:t>Mersereau &amp; Shannon, llp</w:t>
    </w:r>
  </w:p>
  <w:p>
    <w:pPr>
      <w:pStyle w:val="Normal"/>
      <w:widowControl w:val="false"/>
      <w:tabs>
        <w:tab w:val="clear" w:pos="720"/>
        <w:tab w:val="center" w:pos="4857" w:leader="none"/>
      </w:tabs>
      <w:spacing w:lineRule="auto" w:line="180" w:before="0" w:after="0"/>
      <w:rPr>
        <w:sz w:val="16"/>
      </w:rPr>
    </w:pPr>
    <w:r>
      <w:rPr>
        <w:smallCaps/>
        <w:sz w:val="14"/>
      </w:rPr>
      <w:tab/>
    </w:r>
    <w:r>
      <w:rPr>
        <w:smallCaps/>
        <w:sz w:val="16"/>
      </w:rPr>
      <w:t>l a w y e r s</w:t>
    </w:r>
  </w:p>
  <w:p>
    <w:pPr>
      <w:pStyle w:val="Normal"/>
      <w:widowControl w:val="false"/>
      <w:tabs>
        <w:tab w:val="clear" w:pos="720"/>
        <w:tab w:val="center" w:pos="4857" w:leader="none"/>
      </w:tabs>
      <w:spacing w:lineRule="auto" w:line="180" w:before="0" w:after="0"/>
      <w:rPr/>
    </w:pPr>
    <w:r>
      <w:rPr>
        <w:sz w:val="16"/>
      </w:rPr>
      <w:tab/>
    </w:r>
    <w:r>
      <w:rPr>
        <w:smallCaps/>
        <w:sz w:val="16"/>
      </w:rPr>
      <w:t>1600 Benj. Franklin Plaza</w:t>
    </w:r>
  </w:p>
  <w:p>
    <w:pPr>
      <w:pStyle w:val="Normal"/>
      <w:widowControl w:val="false"/>
      <w:tabs>
        <w:tab w:val="clear" w:pos="720"/>
        <w:tab w:val="center" w:pos="4857" w:leader="none"/>
      </w:tabs>
      <w:spacing w:lineRule="auto" w:line="180" w:before="0" w:after="0"/>
      <w:rPr>
        <w:smallCaps/>
        <w:sz w:val="16"/>
      </w:rPr>
    </w:pPr>
    <w:r>
      <w:rPr>
        <w:smallCaps/>
        <w:sz w:val="16"/>
      </w:rPr>
      <w:tab/>
      <w:t>One SW Columbia Street</w:t>
    </w:r>
  </w:p>
  <w:p>
    <w:pPr>
      <w:pStyle w:val="Normal"/>
      <w:widowControl w:val="false"/>
      <w:tabs>
        <w:tab w:val="clear" w:pos="720"/>
        <w:tab w:val="center" w:pos="4857" w:leader="none"/>
      </w:tabs>
      <w:spacing w:lineRule="atLeast" w:line="0" w:before="0" w:after="0"/>
      <w:rPr>
        <w:smallCaps/>
        <w:sz w:val="16"/>
      </w:rPr>
    </w:pPr>
    <w:r>
      <w:rPr>
        <w:smallCaps/>
        <w:sz w:val="16"/>
      </w:rPr>
      <w:tab/>
      <w:t>Portland, Oregon 97258</w:t>
    </w:r>
  </w:p>
  <w:p>
    <w:pPr>
      <w:pStyle w:val="Normal"/>
      <w:widowControl w:val="false"/>
      <w:tabs>
        <w:tab w:val="clear" w:pos="720"/>
        <w:tab w:val="center" w:pos="4857" w:leader="none"/>
      </w:tabs>
      <w:spacing w:lineRule="auto" w:line="180" w:before="0" w:after="0"/>
      <w:rPr>
        <w:smallCaps/>
        <w:sz w:val="16"/>
      </w:rPr>
    </w:pPr>
    <w:r>
      <w:rPr>
        <w:smallCaps/>
        <w:sz w:val="16"/>
      </w:rPr>
      <w:tab/>
      <w:t>(503) 226-6400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180" w:before="0" w:after="0"/>
      <w:rPr>
        <w:sz w:val="14"/>
      </w:rPr>
    </w:pPr>
    <w:r>
      <w:rPr>
        <w:sz w:val="1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hanging="720" w:start="720" w:end="0"/>
      <w:rPr>
        <w:sz w:val="24"/>
      </w:rPr>
    </w:pPr>
    <w:r>
      <w:rPr>
        <w:sz w:val="18"/>
      </w:rPr>
      <w:t xml:space="preserve">Page </w:t>
    </w:r>
    <w:r>
      <w:rPr>
        <w:sz w:val="18"/>
      </w:rPr>
      <w:fldChar w:fldCharType="begin"/>
    </w:r>
    <w:r>
      <w:rPr>
        <w:sz w:val="18"/>
      </w:rPr>
      <w:instrText xml:space="preserve"> PAGE \* ARABIC </w:instrText>
    </w:r>
    <w:r>
      <w:rPr>
        <w:sz w:val="18"/>
      </w:rPr>
      <w:fldChar w:fldCharType="separate"/>
    </w:r>
    <w:r>
      <w:rPr>
        <w:sz w:val="18"/>
      </w:rPr>
      <w:t>1</w:t>
    </w:r>
    <w:r>
      <w:rPr>
        <w:sz w:val="18"/>
      </w:rPr>
      <w:fldChar w:fldCharType="end"/>
    </w:r>
    <w:r>
      <w:rPr>
        <w:sz w:val="18"/>
      </w:rPr>
      <w:t xml:space="preserve">   -</w:t>
    </w:r>
    <w:r>
      <w:rPr>
        <w:smallCaps/>
        <w:sz w:val="18"/>
      </w:rPr>
      <w:t xml:space="preserve"> </w:t>
    </w:r>
    <w:r>
      <w:rPr>
        <w:sz w:val="18"/>
      </w:rPr>
      <w:t xml:space="preserve">  </w:t>
    </w:r>
    <w:r>
      <w:rPr>
        <w:smallCaps/>
        <w:sz w:val="18"/>
      </w:rPr>
      <w:t xml:space="preserve">Response Of The Springfield Utility Board </w:t>
    </w:r>
  </w:p>
  <w:p>
    <w:pPr>
      <w:pStyle w:val="Normal"/>
      <w:widowControl w:val="false"/>
      <w:tabs>
        <w:tab w:val="clear" w:pos="720"/>
        <w:tab w:val="center" w:pos="4857" w:leader="none"/>
      </w:tabs>
      <w:spacing w:lineRule="auto" w:line="180" w:before="0" w:after="0"/>
      <w:rPr>
        <w:smallCaps/>
        <w:sz w:val="14"/>
      </w:rPr>
    </w:pPr>
    <w:r>
      <w:rPr>
        <w:sz w:val="24"/>
      </w:rPr>
      <w:tab/>
    </w:r>
    <w:r>
      <w:rPr>
        <w:smallCaps/>
        <w:sz w:val="18"/>
      </w:rPr>
      <w:t>Mersereau &amp; Shannon, llp</w:t>
    </w:r>
  </w:p>
  <w:p>
    <w:pPr>
      <w:pStyle w:val="Normal"/>
      <w:widowControl w:val="false"/>
      <w:tabs>
        <w:tab w:val="clear" w:pos="720"/>
        <w:tab w:val="center" w:pos="4857" w:leader="none"/>
      </w:tabs>
      <w:spacing w:lineRule="auto" w:line="180" w:before="0" w:after="0"/>
      <w:rPr>
        <w:sz w:val="16"/>
      </w:rPr>
    </w:pPr>
    <w:r>
      <w:rPr>
        <w:smallCaps/>
        <w:sz w:val="14"/>
      </w:rPr>
      <w:tab/>
    </w:r>
    <w:r>
      <w:rPr>
        <w:smallCaps/>
        <w:sz w:val="16"/>
      </w:rPr>
      <w:t>l a w y e r s</w:t>
    </w:r>
  </w:p>
  <w:p>
    <w:pPr>
      <w:pStyle w:val="Normal"/>
      <w:widowControl w:val="false"/>
      <w:tabs>
        <w:tab w:val="clear" w:pos="720"/>
        <w:tab w:val="center" w:pos="4857" w:leader="none"/>
      </w:tabs>
      <w:spacing w:lineRule="auto" w:line="180" w:before="0" w:after="0"/>
      <w:rPr/>
    </w:pPr>
    <w:r>
      <w:rPr>
        <w:sz w:val="16"/>
      </w:rPr>
      <w:tab/>
    </w:r>
    <w:r>
      <w:rPr>
        <w:smallCaps/>
        <w:sz w:val="16"/>
      </w:rPr>
      <w:t>1600 Benj. Franklin Plaza</w:t>
    </w:r>
  </w:p>
  <w:p>
    <w:pPr>
      <w:pStyle w:val="Normal"/>
      <w:widowControl w:val="false"/>
      <w:tabs>
        <w:tab w:val="clear" w:pos="720"/>
        <w:tab w:val="center" w:pos="4857" w:leader="none"/>
      </w:tabs>
      <w:spacing w:lineRule="auto" w:line="180" w:before="0" w:after="0"/>
      <w:rPr>
        <w:smallCaps/>
        <w:sz w:val="16"/>
      </w:rPr>
    </w:pPr>
    <w:r>
      <w:rPr>
        <w:smallCaps/>
        <w:sz w:val="16"/>
      </w:rPr>
      <w:tab/>
      <w:t>One SW Columbia Street</w:t>
    </w:r>
  </w:p>
  <w:p>
    <w:pPr>
      <w:pStyle w:val="Normal"/>
      <w:widowControl w:val="false"/>
      <w:tabs>
        <w:tab w:val="clear" w:pos="720"/>
        <w:tab w:val="center" w:pos="4857" w:leader="none"/>
      </w:tabs>
      <w:spacing w:lineRule="atLeast" w:line="0" w:before="0" w:after="0"/>
      <w:rPr>
        <w:smallCaps/>
        <w:sz w:val="16"/>
      </w:rPr>
    </w:pPr>
    <w:r>
      <w:rPr>
        <w:smallCaps/>
        <w:sz w:val="16"/>
      </w:rPr>
      <w:tab/>
      <w:t>Portland, Oregon 97258</w:t>
    </w:r>
  </w:p>
  <w:p>
    <w:pPr>
      <w:pStyle w:val="Normal"/>
      <w:widowControl w:val="false"/>
      <w:tabs>
        <w:tab w:val="clear" w:pos="720"/>
        <w:tab w:val="center" w:pos="4857" w:leader="none"/>
      </w:tabs>
      <w:spacing w:lineRule="auto" w:line="180" w:before="0" w:after="0"/>
      <w:rPr>
        <w:smallCaps/>
        <w:sz w:val="16"/>
      </w:rPr>
    </w:pPr>
    <w:r>
      <w:rPr>
        <w:smallCaps/>
        <w:sz w:val="16"/>
      </w:rPr>
      <w:tab/>
      <w:t>(503) 226-6400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180" w:before="0" w:after="0"/>
      <w:rPr>
        <w:sz w:val="14"/>
      </w:rPr>
    </w:pPr>
    <w:r>
      <w:rPr>
        <w:sz w:val="1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hanging="720" w:start="720" w:end="0"/>
      <w:rPr>
        <w:sz w:val="24"/>
      </w:rPr>
    </w:pPr>
    <w:r>
      <w:rPr>
        <w:sz w:val="18"/>
      </w:rPr>
      <w:t xml:space="preserve">Page </w:t>
    </w:r>
    <w:r>
      <w:rPr>
        <w:sz w:val="18"/>
      </w:rPr>
      <w:fldChar w:fldCharType="begin"/>
    </w:r>
    <w:r>
      <w:rPr>
        <w:sz w:val="18"/>
      </w:rPr>
      <w:instrText xml:space="preserve"> PAGE \* ARABIC </w:instrText>
    </w:r>
    <w:r>
      <w:rPr>
        <w:sz w:val="18"/>
      </w:rPr>
      <w:fldChar w:fldCharType="separate"/>
    </w:r>
    <w:r>
      <w:rPr>
        <w:sz w:val="18"/>
      </w:rPr>
      <w:t>4</w:t>
    </w:r>
    <w:r>
      <w:rPr>
        <w:sz w:val="18"/>
      </w:rPr>
      <w:fldChar w:fldCharType="end"/>
    </w:r>
    <w:r>
      <w:rPr>
        <w:sz w:val="18"/>
      </w:rPr>
      <w:t xml:space="preserve">   -</w:t>
    </w:r>
    <w:r>
      <w:rPr>
        <w:smallCaps/>
        <w:sz w:val="18"/>
      </w:rPr>
      <w:t xml:space="preserve"> </w:t>
    </w:r>
    <w:r>
      <w:rPr>
        <w:sz w:val="18"/>
      </w:rPr>
      <w:t xml:space="preserve">  </w:t>
    </w:r>
    <w:r>
      <w:rPr>
        <w:smallCaps/>
        <w:sz w:val="18"/>
      </w:rPr>
      <w:t xml:space="preserve">Response Of The Springfield Utility Board </w:t>
    </w:r>
  </w:p>
  <w:p>
    <w:pPr>
      <w:pStyle w:val="Normal"/>
      <w:widowControl w:val="false"/>
      <w:tabs>
        <w:tab w:val="clear" w:pos="720"/>
        <w:tab w:val="center" w:pos="4857" w:leader="none"/>
      </w:tabs>
      <w:spacing w:lineRule="auto" w:line="180" w:before="0" w:after="0"/>
      <w:rPr>
        <w:smallCaps/>
        <w:sz w:val="14"/>
      </w:rPr>
    </w:pPr>
    <w:r>
      <w:rPr>
        <w:sz w:val="24"/>
      </w:rPr>
      <w:tab/>
    </w:r>
    <w:r>
      <w:rPr>
        <w:smallCaps/>
        <w:sz w:val="18"/>
      </w:rPr>
      <w:t>Mersereau &amp; Shannon, llp</w:t>
    </w:r>
  </w:p>
  <w:p>
    <w:pPr>
      <w:pStyle w:val="Normal"/>
      <w:widowControl w:val="false"/>
      <w:tabs>
        <w:tab w:val="clear" w:pos="720"/>
        <w:tab w:val="center" w:pos="4857" w:leader="none"/>
      </w:tabs>
      <w:spacing w:lineRule="auto" w:line="180" w:before="0" w:after="0"/>
      <w:rPr>
        <w:sz w:val="16"/>
      </w:rPr>
    </w:pPr>
    <w:r>
      <w:rPr>
        <w:smallCaps/>
        <w:sz w:val="14"/>
      </w:rPr>
      <w:tab/>
    </w:r>
    <w:r>
      <w:rPr>
        <w:smallCaps/>
        <w:sz w:val="16"/>
      </w:rPr>
      <w:t>l a w y e r s</w:t>
    </w:r>
  </w:p>
  <w:p>
    <w:pPr>
      <w:pStyle w:val="Normal"/>
      <w:widowControl w:val="false"/>
      <w:tabs>
        <w:tab w:val="clear" w:pos="720"/>
        <w:tab w:val="center" w:pos="4857" w:leader="none"/>
      </w:tabs>
      <w:spacing w:lineRule="auto" w:line="180" w:before="0" w:after="0"/>
      <w:rPr/>
    </w:pPr>
    <w:r>
      <w:rPr>
        <w:sz w:val="16"/>
      </w:rPr>
      <w:tab/>
    </w:r>
    <w:r>
      <w:rPr>
        <w:smallCaps/>
        <w:sz w:val="16"/>
      </w:rPr>
      <w:t>1600 Benj. Franklin Plaza</w:t>
    </w:r>
  </w:p>
  <w:p>
    <w:pPr>
      <w:pStyle w:val="Normal"/>
      <w:widowControl w:val="false"/>
      <w:tabs>
        <w:tab w:val="clear" w:pos="720"/>
        <w:tab w:val="center" w:pos="4857" w:leader="none"/>
      </w:tabs>
      <w:spacing w:lineRule="auto" w:line="180" w:before="0" w:after="0"/>
      <w:rPr>
        <w:smallCaps/>
        <w:sz w:val="16"/>
      </w:rPr>
    </w:pPr>
    <w:r>
      <w:rPr>
        <w:smallCaps/>
        <w:sz w:val="16"/>
      </w:rPr>
      <w:tab/>
      <w:t>One SW Columbia Street</w:t>
    </w:r>
  </w:p>
  <w:p>
    <w:pPr>
      <w:pStyle w:val="Normal"/>
      <w:widowControl w:val="false"/>
      <w:tabs>
        <w:tab w:val="clear" w:pos="720"/>
        <w:tab w:val="center" w:pos="4857" w:leader="none"/>
      </w:tabs>
      <w:spacing w:lineRule="atLeast" w:line="0" w:before="0" w:after="0"/>
      <w:rPr>
        <w:smallCaps/>
        <w:sz w:val="16"/>
      </w:rPr>
    </w:pPr>
    <w:r>
      <w:rPr>
        <w:smallCaps/>
        <w:sz w:val="16"/>
      </w:rPr>
      <w:tab/>
      <w:t>Portland, Oregon 97258</w:t>
    </w:r>
  </w:p>
  <w:p>
    <w:pPr>
      <w:pStyle w:val="Normal"/>
      <w:widowControl w:val="false"/>
      <w:tabs>
        <w:tab w:val="clear" w:pos="720"/>
        <w:tab w:val="center" w:pos="4857" w:leader="none"/>
      </w:tabs>
      <w:spacing w:lineRule="auto" w:line="180" w:before="0" w:after="0"/>
      <w:rPr>
        <w:smallCaps/>
        <w:sz w:val="16"/>
      </w:rPr>
    </w:pPr>
    <w:r>
      <w:rPr>
        <w:smallCaps/>
        <w:sz w:val="16"/>
      </w:rPr>
      <w:tab/>
      <w:t>(503) 226-6400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180" w:before="0" w:after="0"/>
      <w:rPr>
        <w:sz w:val="14"/>
      </w:rPr>
    </w:pPr>
    <w:r>
      <w:rPr>
        <w:sz w:val="1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hanging="720" w:start="720" w:end="0"/>
      <w:rPr>
        <w:sz w:val="24"/>
      </w:rPr>
    </w:pPr>
    <w:r>
      <w:rPr>
        <w:sz w:val="18"/>
      </w:rPr>
      <w:t xml:space="preserve">Page </w:t>
    </w:r>
    <w:r>
      <w:rPr>
        <w:sz w:val="18"/>
      </w:rPr>
      <w:fldChar w:fldCharType="begin"/>
    </w:r>
    <w:r>
      <w:rPr>
        <w:sz w:val="18"/>
      </w:rPr>
      <w:instrText xml:space="preserve"> PAGE \* ARABIC </w:instrText>
    </w:r>
    <w:r>
      <w:rPr>
        <w:sz w:val="18"/>
      </w:rPr>
      <w:fldChar w:fldCharType="separate"/>
    </w:r>
    <w:r>
      <w:rPr>
        <w:sz w:val="18"/>
      </w:rPr>
      <w:t>3</w:t>
    </w:r>
    <w:r>
      <w:rPr>
        <w:sz w:val="18"/>
      </w:rPr>
      <w:fldChar w:fldCharType="end"/>
    </w:r>
    <w:r>
      <w:rPr>
        <w:sz w:val="18"/>
      </w:rPr>
      <w:t xml:space="preserve">   -</w:t>
    </w:r>
    <w:r>
      <w:rPr>
        <w:smallCaps/>
        <w:sz w:val="18"/>
      </w:rPr>
      <w:t xml:space="preserve"> </w:t>
    </w:r>
    <w:r>
      <w:rPr>
        <w:sz w:val="18"/>
      </w:rPr>
      <w:t xml:space="preserve">  </w:t>
    </w:r>
    <w:r>
      <w:rPr>
        <w:smallCaps/>
        <w:sz w:val="18"/>
      </w:rPr>
      <w:t xml:space="preserve">Response Of The Springfield Utility Board </w:t>
    </w:r>
  </w:p>
  <w:p>
    <w:pPr>
      <w:pStyle w:val="Normal"/>
      <w:widowControl w:val="false"/>
      <w:tabs>
        <w:tab w:val="clear" w:pos="720"/>
        <w:tab w:val="center" w:pos="4857" w:leader="none"/>
      </w:tabs>
      <w:spacing w:lineRule="auto" w:line="180" w:before="0" w:after="0"/>
      <w:rPr>
        <w:smallCaps/>
        <w:sz w:val="14"/>
      </w:rPr>
    </w:pPr>
    <w:r>
      <w:rPr>
        <w:sz w:val="24"/>
      </w:rPr>
      <w:tab/>
    </w:r>
    <w:r>
      <w:rPr>
        <w:smallCaps/>
        <w:sz w:val="18"/>
      </w:rPr>
      <w:t>Mersereau &amp; Shannon, llp</w:t>
    </w:r>
  </w:p>
  <w:p>
    <w:pPr>
      <w:pStyle w:val="Normal"/>
      <w:widowControl w:val="false"/>
      <w:tabs>
        <w:tab w:val="clear" w:pos="720"/>
        <w:tab w:val="center" w:pos="4857" w:leader="none"/>
      </w:tabs>
      <w:spacing w:lineRule="auto" w:line="180" w:before="0" w:after="0"/>
      <w:rPr>
        <w:sz w:val="16"/>
      </w:rPr>
    </w:pPr>
    <w:r>
      <w:rPr>
        <w:smallCaps/>
        <w:sz w:val="14"/>
      </w:rPr>
      <w:tab/>
    </w:r>
    <w:r>
      <w:rPr>
        <w:smallCaps/>
        <w:sz w:val="16"/>
      </w:rPr>
      <w:t>l a w y e r s</w:t>
    </w:r>
  </w:p>
  <w:p>
    <w:pPr>
      <w:pStyle w:val="Normal"/>
      <w:widowControl w:val="false"/>
      <w:tabs>
        <w:tab w:val="clear" w:pos="720"/>
        <w:tab w:val="center" w:pos="4857" w:leader="none"/>
      </w:tabs>
      <w:spacing w:lineRule="auto" w:line="180" w:before="0" w:after="0"/>
      <w:rPr/>
    </w:pPr>
    <w:r>
      <w:rPr>
        <w:sz w:val="16"/>
      </w:rPr>
      <w:tab/>
    </w:r>
    <w:r>
      <w:rPr>
        <w:smallCaps/>
        <w:sz w:val="16"/>
      </w:rPr>
      <w:t>1600 Benj. Franklin Plaza</w:t>
    </w:r>
  </w:p>
  <w:p>
    <w:pPr>
      <w:pStyle w:val="Normal"/>
      <w:widowControl w:val="false"/>
      <w:tabs>
        <w:tab w:val="clear" w:pos="720"/>
        <w:tab w:val="center" w:pos="4857" w:leader="none"/>
      </w:tabs>
      <w:spacing w:lineRule="auto" w:line="180" w:before="0" w:after="0"/>
      <w:rPr>
        <w:smallCaps/>
        <w:sz w:val="16"/>
      </w:rPr>
    </w:pPr>
    <w:r>
      <w:rPr>
        <w:smallCaps/>
        <w:sz w:val="16"/>
      </w:rPr>
      <w:tab/>
      <w:t>One SW Columbia Street</w:t>
    </w:r>
  </w:p>
  <w:p>
    <w:pPr>
      <w:pStyle w:val="Normal"/>
      <w:widowControl w:val="false"/>
      <w:tabs>
        <w:tab w:val="clear" w:pos="720"/>
        <w:tab w:val="center" w:pos="4857" w:leader="none"/>
      </w:tabs>
      <w:spacing w:lineRule="auto" w:line="180" w:before="0" w:after="0"/>
      <w:rPr>
        <w:smallCaps/>
        <w:sz w:val="16"/>
      </w:rPr>
    </w:pPr>
    <w:r>
      <w:rPr>
        <w:smallCaps/>
        <w:sz w:val="16"/>
      </w:rPr>
      <w:tab/>
      <w:t>Portland, Oregon 97258</w:t>
    </w:r>
  </w:p>
  <w:p>
    <w:pPr>
      <w:pStyle w:val="Normal"/>
      <w:widowControl w:val="false"/>
      <w:tabs>
        <w:tab w:val="clear" w:pos="720"/>
        <w:tab w:val="center" w:pos="4857" w:leader="none"/>
      </w:tabs>
      <w:spacing w:lineRule="atLeast" w:line="0" w:before="0" w:after="0"/>
      <w:rPr>
        <w:smallCaps/>
        <w:sz w:val="16"/>
      </w:rPr>
    </w:pPr>
    <w:r>
      <w:rPr>
        <w:smallCaps/>
        <w:sz w:val="16"/>
      </w:rPr>
      <w:tab/>
      <w:t>(503) 226-6400</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WP9Hyperlink">
    <w:name w:val="WP9_Hyperlink"/>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Quick1">
    <w:name w:val="Quick 1."/>
    <w:basedOn w:val="Normal"/>
    <w:qFormat/>
    <w:pPr>
      <w:widowControl w:val="false"/>
    </w:pPr>
    <w:rPr/>
  </w:style>
  <w:style w:type="paragraph" w:styleId="Heading1">
    <w:name w:val="heading 1"/>
    <w:basedOn w:val="Normal"/>
    <w:qFormat/>
    <w:pPr>
      <w:widowControl/>
      <w:jc w:val="center"/>
    </w:pPr>
    <w:rPr>
      <w:b/>
      <w:sz w:val="24"/>
    </w:rPr>
  </w:style>
  <w:style w:type="paragraph" w:styleId="Heading2">
    <w:name w:val="heading 2"/>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pPr>
    <w:rPr>
      <w:b/>
      <w:sz w:val="24"/>
    </w:rPr>
  </w:style>
  <w:style w:type="paragraph" w:styleId="BodyText2">
    <w:name w:val="Body Text 2"/>
    <w:basedOn w:val="Normal"/>
    <w:qFormat/>
    <w:pPr>
      <w:widowControl/>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