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b/>
        </w:rPr>
      </w:pPr>
      <w:r>
        <w:rPr>
          <w:b/>
        </w:rPr>
        <w:t>TURN/SCGC Response to</w:t>
      </w:r>
    </w:p>
    <w:p>
      <w:pPr>
        <w:pStyle w:val="Normal"/>
        <w:bidi w:val="0"/>
        <w:spacing w:lineRule="auto" w:line="360"/>
        <w:jc w:val="center"/>
        <w:rPr>
          <w:b/>
        </w:rPr>
      </w:pPr>
      <w:r>
        <w:rPr>
          <w:b/>
        </w:rPr>
        <w:t>ALJ Biren’s Questions</w:t>
      </w:r>
    </w:p>
    <w:p>
      <w:pPr>
        <w:pStyle w:val="Normal"/>
        <w:bidi w:val="0"/>
        <w:spacing w:lineRule="auto" w:line="360"/>
        <w:jc w:val="center"/>
        <w:rPr/>
      </w:pPr>
      <w:r>
        <w:rPr>
          <w:b/>
        </w:rPr>
        <w:t>of June 1, 2000</w:t>
      </w:r>
    </w:p>
    <w:p>
      <w:pPr>
        <w:pStyle w:val="Normal"/>
        <w:bidi w:val="0"/>
        <w:spacing w:lineRule="auto" w:line="360"/>
        <w:jc w:val="start"/>
        <w:rPr/>
      </w:pPr>
      <w:r>
        <w:rPr/>
      </w:r>
    </w:p>
    <w:p>
      <w:pPr>
        <w:pStyle w:val="Normal"/>
        <w:bidi w:val="0"/>
        <w:spacing w:lineRule="auto" w:line="360"/>
        <w:jc w:val="start"/>
        <w:rPr/>
      </w:pPr>
      <w:r>
        <w:rPr/>
        <w:t>Questions No. 1 and 2 are sponsored by M. Florio.</w:t>
      </w:r>
    </w:p>
    <w:p>
      <w:pPr>
        <w:pStyle w:val="Normal"/>
        <w:bidi w:val="0"/>
        <w:spacing w:lineRule="auto" w:line="360"/>
        <w:jc w:val="start"/>
        <w:rPr/>
      </w:pPr>
      <w:r>
        <w:rPr/>
        <w:t>Questions No. 3-8 are sponsored by C. Yap.</w:t>
      </w:r>
    </w:p>
    <w:p>
      <w:pPr>
        <w:pStyle w:val="Normal"/>
        <w:bidi w:val="0"/>
        <w:spacing w:lineRule="auto" w:line="360"/>
        <w:jc w:val="start"/>
        <w:rPr/>
      </w:pPr>
      <w:r>
        <w:rPr/>
      </w:r>
    </w:p>
    <w:p>
      <w:pPr>
        <w:pStyle w:val="Normal"/>
        <w:numPr>
          <w:ilvl w:val="0"/>
          <w:numId w:val="4"/>
        </w:numPr>
        <w:tabs>
          <w:tab w:val="left" w:pos="720" w:leader="none"/>
        </w:tabs>
        <w:bidi w:val="0"/>
        <w:spacing w:lineRule="auto" w:line="360"/>
        <w:jc w:val="start"/>
        <w:rPr/>
      </w:pPr>
      <w:r>
        <w:rPr/>
        <w:t>Exh 101, pg. 4, lines 22-25:  The Post-IS puts the risk allocation at 50/50 between ratepayers and shareholders until 12-31-02 and 100% shareholder risk after that.  Under this treatment, is the shareholder share subject to PBR sharing?</w:t>
      </w:r>
    </w:p>
    <w:p>
      <w:pPr>
        <w:pStyle w:val="BodyText2"/>
        <w:numPr>
          <w:ilvl w:val="0"/>
          <w:numId w:val="0"/>
        </w:numPr>
        <w:tabs>
          <w:tab w:val="clear" w:pos="1440"/>
        </w:tabs>
        <w:bidi w:val="0"/>
        <w:spacing w:lineRule="auto" w:line="360"/>
        <w:ind w:firstLine="720" w:start="720"/>
        <w:jc w:val="start"/>
        <w:rPr>
          <w:rFonts w:ascii="Times New Roman" w:hAnsi="Times New Roman"/>
          <w:i/>
          <w:i/>
        </w:rPr>
      </w:pPr>
      <w:r>
        <w:rPr>
          <w:i/>
        </w:rPr>
      </w:r>
    </w:p>
    <w:p>
      <w:pPr>
        <w:pStyle w:val="BodyText2"/>
        <w:numPr>
          <w:ilvl w:val="0"/>
          <w:numId w:val="0"/>
        </w:numPr>
        <w:tabs>
          <w:tab w:val="clear" w:pos="1440"/>
        </w:tabs>
        <w:bidi w:val="0"/>
        <w:spacing w:lineRule="auto" w:line="360"/>
        <w:ind w:firstLine="720" w:start="720"/>
        <w:jc w:val="start"/>
        <w:rPr>
          <w:rFonts w:ascii="Times New Roman" w:hAnsi="Times New Roman"/>
        </w:rPr>
      </w:pPr>
      <w:r>
        <w:rPr>
          <w:i/>
        </w:rPr>
        <w:t>Response:</w:t>
      </w:r>
      <w:r>
        <w:rPr/>
        <w:t xml:space="preserve">  No, under the Joint Recommendation, Section VIII, the shareholder share is explicitly excluded from the PBR mechanism.  Exh. 100, Att. B.  This rate treatment would last until the next BCAP/PBR cases are completed in the 2002 timeframe and the associated decisions were issued determining prospective rate treatment.</w:t>
      </w:r>
    </w:p>
    <w:p>
      <w:pPr>
        <w:pStyle w:val="BodyText2"/>
        <w:numPr>
          <w:ilvl w:val="0"/>
          <w:numId w:val="0"/>
        </w:numPr>
        <w:tabs>
          <w:tab w:val="clear" w:pos="1440"/>
        </w:tabs>
        <w:bidi w:val="0"/>
        <w:spacing w:lineRule="auto" w:line="360"/>
        <w:ind w:hanging="0" w:start="720"/>
        <w:jc w:val="start"/>
        <w:rPr>
          <w:rFonts w:ascii="Times New Roman" w:hAnsi="Times New Roman"/>
        </w:rPr>
      </w:pPr>
      <w:r>
        <w:rPr/>
      </w:r>
    </w:p>
    <w:p>
      <w:pPr>
        <w:pStyle w:val="Normal"/>
        <w:numPr>
          <w:ilvl w:val="0"/>
          <w:numId w:val="4"/>
        </w:numPr>
        <w:tabs>
          <w:tab w:val="left" w:pos="720" w:leader="none"/>
        </w:tabs>
        <w:bidi w:val="0"/>
        <w:spacing w:lineRule="auto" w:line="360"/>
        <w:jc w:val="start"/>
        <w:rPr/>
      </w:pPr>
      <w:r>
        <w:rPr/>
        <w:t>Exh. 101, pg. 4, line 1:  The Post-IS maintains the risk allocation adopted in the BCAP decision at 75/25 for noncore transmission revenues between ratepayers and shareholders.  Under the Post-IS is the shareholder share subject to PBR revenue sharing?</w:t>
      </w:r>
    </w:p>
    <w:p>
      <w:pPr>
        <w:pStyle w:val="BodyText2"/>
        <w:numPr>
          <w:ilvl w:val="0"/>
          <w:numId w:val="0"/>
        </w:numPr>
        <w:tabs>
          <w:tab w:val="clear" w:pos="1440"/>
        </w:tabs>
        <w:bidi w:val="0"/>
        <w:spacing w:lineRule="auto" w:line="360"/>
        <w:ind w:firstLine="720" w:start="720"/>
        <w:jc w:val="start"/>
        <w:rPr>
          <w:rFonts w:ascii="Times New Roman" w:hAnsi="Times New Roman"/>
          <w:i/>
          <w:i/>
        </w:rPr>
      </w:pPr>
      <w:r>
        <w:rPr>
          <w:i/>
        </w:rPr>
      </w:r>
    </w:p>
    <w:p>
      <w:pPr>
        <w:pStyle w:val="BodyText2"/>
        <w:numPr>
          <w:ilvl w:val="0"/>
          <w:numId w:val="0"/>
        </w:numPr>
        <w:tabs>
          <w:tab w:val="clear" w:pos="1440"/>
        </w:tabs>
        <w:bidi w:val="0"/>
        <w:spacing w:lineRule="auto" w:line="360"/>
        <w:ind w:firstLine="720" w:start="720"/>
        <w:jc w:val="start"/>
        <w:rPr>
          <w:rFonts w:ascii="Times New Roman" w:hAnsi="Times New Roman"/>
        </w:rPr>
      </w:pPr>
      <w:r>
        <w:rPr>
          <w:i/>
        </w:rPr>
        <w:t>Response:</w:t>
      </w:r>
      <w:r>
        <w:rPr/>
        <w:t xml:space="preserve">  No, under the Joint Recommendation, Section XII, the shareholder share is explicitly excluded from the PBR mechanism.  Exh. 100, Att. B.  This rate treatment would last until the next BCAP/PBR cases are completed in the 2002 timeframe and the associated decisions were issued determining prospective rate treatment.</w:t>
      </w:r>
    </w:p>
    <w:p>
      <w:pPr>
        <w:pStyle w:val="BodyText2"/>
        <w:numPr>
          <w:ilvl w:val="0"/>
          <w:numId w:val="0"/>
        </w:numPr>
        <w:tabs>
          <w:tab w:val="clear" w:pos="1440"/>
        </w:tabs>
        <w:bidi w:val="0"/>
        <w:spacing w:lineRule="auto" w:line="360"/>
        <w:ind w:hanging="0" w:start="720"/>
        <w:jc w:val="start"/>
        <w:rPr>
          <w:rFonts w:ascii="Times New Roman" w:hAnsi="Times New Roman"/>
        </w:rPr>
      </w:pPr>
      <w:r>
        <w:rPr/>
      </w:r>
    </w:p>
    <w:p>
      <w:pPr>
        <w:pStyle w:val="Normal"/>
        <w:numPr>
          <w:ilvl w:val="0"/>
          <w:numId w:val="4"/>
        </w:numPr>
        <w:tabs>
          <w:tab w:val="left" w:pos="720" w:leader="none"/>
        </w:tabs>
        <w:bidi w:val="0"/>
        <w:spacing w:lineRule="auto" w:line="360"/>
        <w:jc w:val="start"/>
        <w:rPr/>
      </w:pPr>
      <w:r>
        <w:rPr/>
        <w:t>Exh. 102, pg. 19, Section 2.4.2:  You indicate that the Commission has consistently opposed using SFV demand charges.  Doesn’t the Gas Accord allow for SFV demand charges?</w:t>
      </w:r>
    </w:p>
    <w:p>
      <w:pPr>
        <w:pStyle w:val="BodyText2"/>
        <w:numPr>
          <w:ilvl w:val="0"/>
          <w:numId w:val="0"/>
        </w:numPr>
        <w:tabs>
          <w:tab w:val="clear" w:pos="1440"/>
        </w:tabs>
        <w:bidi w:val="0"/>
        <w:spacing w:lineRule="auto" w:line="360"/>
        <w:ind w:firstLine="720" w:start="720"/>
        <w:jc w:val="start"/>
        <w:rPr>
          <w:rFonts w:ascii="Times New Roman" w:hAnsi="Times New Roman"/>
          <w:i/>
          <w:i/>
        </w:rPr>
      </w:pPr>
      <w:r>
        <w:rPr>
          <w:i/>
        </w:rPr>
      </w:r>
    </w:p>
    <w:p>
      <w:pPr>
        <w:pStyle w:val="BodyText2"/>
        <w:numPr>
          <w:ilvl w:val="0"/>
          <w:numId w:val="0"/>
        </w:numPr>
        <w:tabs>
          <w:tab w:val="clear" w:pos="1440"/>
        </w:tabs>
        <w:bidi w:val="0"/>
        <w:spacing w:lineRule="auto" w:line="360"/>
        <w:ind w:firstLine="720" w:start="720"/>
        <w:jc w:val="start"/>
        <w:rPr>
          <w:rFonts w:ascii="Times New Roman" w:hAnsi="Times New Roman"/>
        </w:rPr>
      </w:pPr>
      <w:r>
        <w:rPr>
          <w:i/>
        </w:rPr>
        <w:t>Response:</w:t>
      </w:r>
      <w:r>
        <w:rPr/>
        <w:t xml:space="preserve">  Yes, the Commission allowed that rate design as part of the Gas Accord settlement.  However, in proceedings at the FERC that led to Order 636 and in subsequent appellate court cases, the Commission and the California gas utilities argued the issue from the perspective of customers of the interstate pipeline companies and vigorously opposed the SFV rate design.  The Commission and the gas utilities argued that an SFV rate design unfairly shifts costs to customers, undermines competition, and allows a substantial increase in producer netbacks.</w:t>
      </w:r>
    </w:p>
    <w:p>
      <w:pPr>
        <w:pStyle w:val="BodyText2"/>
        <w:numPr>
          <w:ilvl w:val="0"/>
          <w:numId w:val="0"/>
        </w:numPr>
        <w:tabs>
          <w:tab w:val="clear" w:pos="1440"/>
        </w:tabs>
        <w:bidi w:val="0"/>
        <w:spacing w:lineRule="auto" w:line="360"/>
        <w:ind w:hanging="0" w:start="720"/>
        <w:jc w:val="start"/>
        <w:rPr>
          <w:rFonts w:ascii="Times New Roman" w:hAnsi="Times New Roman"/>
        </w:rPr>
      </w:pPr>
      <w:r>
        <w:rPr/>
      </w:r>
    </w:p>
    <w:p>
      <w:pPr>
        <w:pStyle w:val="Normal"/>
        <w:numPr>
          <w:ilvl w:val="0"/>
          <w:numId w:val="4"/>
        </w:numPr>
        <w:tabs>
          <w:tab w:val="left" w:pos="720" w:leader="none"/>
        </w:tabs>
        <w:bidi w:val="0"/>
        <w:spacing w:lineRule="auto" w:line="360"/>
        <w:jc w:val="start"/>
        <w:rPr/>
      </w:pPr>
      <w:r>
        <w:rPr/>
        <w:t xml:space="preserve">Exh. 101, pg. 14, line 29:  You indicate that a problem may arise during periods of capacity constraints.  </w:t>
      </w:r>
    </w:p>
    <w:p>
      <w:pPr>
        <w:pStyle w:val="Normal"/>
        <w:bidi w:val="0"/>
        <w:spacing w:lineRule="auto" w:line="360"/>
        <w:jc w:val="start"/>
        <w:rPr/>
      </w:pPr>
      <w:r>
        <w:rPr/>
      </w:r>
    </w:p>
    <w:p>
      <w:pPr>
        <w:pStyle w:val="BodyText2"/>
        <w:numPr>
          <w:ilvl w:val="1"/>
          <w:numId w:val="1"/>
        </w:numPr>
        <w:tabs>
          <w:tab w:val="clear" w:pos="1440"/>
          <w:tab w:val="left" w:pos="1080" w:leader="none"/>
        </w:tabs>
        <w:bidi w:val="0"/>
        <w:spacing w:lineRule="auto" w:line="360"/>
        <w:ind w:hanging="360" w:start="1080"/>
        <w:jc w:val="start"/>
        <w:rPr>
          <w:rFonts w:ascii="Times New Roman" w:hAnsi="Times New Roman"/>
        </w:rPr>
      </w:pPr>
      <w:r>
        <w:rPr/>
        <w:t xml:space="preserve">On the interstate system, a functioning market has developed at the California border with the market price including the costs of interstate capacity, generally well below the full ABR for interstate capacity.  Would you agree that there is generally excess capacity at the SoCalGas receipt points?  </w:t>
      </w:r>
    </w:p>
    <w:p>
      <w:pPr>
        <w:pStyle w:val="BodyText2"/>
        <w:numPr>
          <w:ilvl w:val="0"/>
          <w:numId w:val="0"/>
        </w:numPr>
        <w:tabs>
          <w:tab w:val="clear" w:pos="1440"/>
        </w:tabs>
        <w:bidi w:val="0"/>
        <w:spacing w:lineRule="auto" w:line="360"/>
        <w:ind w:firstLine="360" w:start="1080"/>
        <w:jc w:val="start"/>
        <w:rPr>
          <w:rFonts w:ascii="Times New Roman" w:hAnsi="Times New Roman"/>
          <w:i/>
          <w:i/>
        </w:rPr>
      </w:pPr>
      <w:r>
        <w:rPr>
          <w:i/>
        </w:rPr>
      </w:r>
    </w:p>
    <w:p>
      <w:pPr>
        <w:pStyle w:val="BodyText2"/>
        <w:numPr>
          <w:ilvl w:val="0"/>
          <w:numId w:val="0"/>
        </w:numPr>
        <w:tabs>
          <w:tab w:val="clear" w:pos="1440"/>
        </w:tabs>
        <w:bidi w:val="0"/>
        <w:spacing w:lineRule="auto" w:line="360"/>
        <w:ind w:firstLine="360" w:start="1080"/>
        <w:jc w:val="start"/>
        <w:rPr>
          <w:rFonts w:ascii="Times New Roman" w:hAnsi="Times New Roman"/>
        </w:rPr>
      </w:pPr>
      <w:r>
        <w:rPr>
          <w:i/>
        </w:rPr>
        <w:t>Response:</w:t>
      </w:r>
      <w:r>
        <w:rPr/>
        <w:t xml:space="preserve">  Under the current system, there is excess capacity on both the delivering pipelines (including both the interstate pipelines and PG&amp;E) and SoCalGas during many months.  However, as pointed out in Exh 101, pg. 14, lines 3-10, there is far greater excess capacity on the upstream pipelines that deliver into SoCalGas than exists at the receipt points and on the intrastate transmission system.  Furthermore, as shown in Figure 2 of Exh. 101, pg. 54, the ABR for brokered interstate pipeline capacity has remained above 50% level for 11 out of 16 months (Nov 97 to July 00) despite the significant amount of excess capacity on the interstate pipelines.  </w:t>
      </w:r>
    </w:p>
    <w:p>
      <w:pPr>
        <w:pStyle w:val="BodyText2"/>
        <w:numPr>
          <w:ilvl w:val="0"/>
          <w:numId w:val="0"/>
        </w:numPr>
        <w:tabs>
          <w:tab w:val="clear" w:pos="1440"/>
        </w:tabs>
        <w:bidi w:val="0"/>
        <w:spacing w:lineRule="auto" w:line="360"/>
        <w:ind w:hanging="0" w:start="1080"/>
        <w:jc w:val="start"/>
        <w:rPr>
          <w:rFonts w:ascii="Times New Roman" w:hAnsi="Times New Roman"/>
        </w:rPr>
      </w:pPr>
      <w:r>
        <w:rPr/>
      </w:r>
    </w:p>
    <w:p>
      <w:pPr>
        <w:pStyle w:val="BodyText2"/>
        <w:numPr>
          <w:ilvl w:val="1"/>
          <w:numId w:val="1"/>
        </w:numPr>
        <w:tabs>
          <w:tab w:val="clear" w:pos="1440"/>
          <w:tab w:val="left" w:pos="1080" w:leader="none"/>
        </w:tabs>
        <w:bidi w:val="0"/>
        <w:spacing w:lineRule="auto" w:line="360"/>
        <w:ind w:hanging="360" w:start="1080"/>
        <w:jc w:val="start"/>
        <w:rPr>
          <w:rFonts w:ascii="Times New Roman" w:hAnsi="Times New Roman"/>
        </w:rPr>
      </w:pPr>
      <w:r>
        <w:rPr/>
        <w:t xml:space="preserve">If so, why wouldn’t one expect a recapitulation of the situation at the border to occur for a SoCalGas city gate price for most times of the year?  </w:t>
      </w:r>
    </w:p>
    <w:p>
      <w:pPr>
        <w:pStyle w:val="BodyText2"/>
        <w:numPr>
          <w:ilvl w:val="0"/>
          <w:numId w:val="0"/>
        </w:numPr>
        <w:tabs>
          <w:tab w:val="clear" w:pos="1440"/>
        </w:tabs>
        <w:bidi w:val="0"/>
        <w:spacing w:lineRule="auto" w:line="360"/>
        <w:ind w:firstLine="360" w:start="1080"/>
        <w:jc w:val="start"/>
        <w:rPr>
          <w:rFonts w:ascii="Times New Roman" w:hAnsi="Times New Roman"/>
          <w:i/>
          <w:i/>
        </w:rPr>
      </w:pPr>
      <w:r>
        <w:rPr>
          <w:i/>
        </w:rPr>
      </w:r>
    </w:p>
    <w:p>
      <w:pPr>
        <w:pStyle w:val="BodyText2"/>
        <w:numPr>
          <w:ilvl w:val="0"/>
          <w:numId w:val="0"/>
        </w:numPr>
        <w:tabs>
          <w:tab w:val="clear" w:pos="1440"/>
        </w:tabs>
        <w:bidi w:val="0"/>
        <w:spacing w:lineRule="auto" w:line="360"/>
        <w:ind w:firstLine="360" w:start="1080"/>
        <w:jc w:val="start"/>
        <w:rPr>
          <w:rFonts w:ascii="Times New Roman" w:hAnsi="Times New Roman"/>
        </w:rPr>
      </w:pPr>
      <w:r>
        <w:rPr>
          <w:i/>
        </w:rPr>
        <w:t>Response:</w:t>
      </w:r>
      <w:r>
        <w:rPr/>
        <w:t xml:space="preserve">  The pipelines that deliver gas into SoCalGas have a combined capacity in excess of 5000 MMcf/d while SoCalGas’ takeaway capacity is 3230 MMcf/d.  R.98-01-011, Exh 9, Att. 2; I.99-07-003, Exh. 2, p.9.  Thus, there is far more excess capacity in the interstate system than exists in the intrastate system.  With less capacity available on the intrastate system for customers and marketers, it is much more likely that bidders will commit to significant capacity reservations and not rely upon the secondary markets or interruptible supplies.  </w:t>
      </w:r>
    </w:p>
    <w:p>
      <w:pPr>
        <w:pStyle w:val="BodyText2"/>
        <w:numPr>
          <w:ilvl w:val="0"/>
          <w:numId w:val="0"/>
        </w:numPr>
        <w:tabs>
          <w:tab w:val="clear" w:pos="1440"/>
        </w:tabs>
        <w:bidi w:val="0"/>
        <w:spacing w:lineRule="auto" w:line="360"/>
        <w:ind w:hanging="0" w:start="1080"/>
        <w:jc w:val="start"/>
        <w:rPr>
          <w:rFonts w:ascii="Times New Roman" w:hAnsi="Times New Roman"/>
        </w:rPr>
      </w:pPr>
      <w:r>
        <w:rPr/>
      </w:r>
    </w:p>
    <w:p>
      <w:pPr>
        <w:pStyle w:val="BodyText2"/>
        <w:numPr>
          <w:ilvl w:val="1"/>
          <w:numId w:val="1"/>
        </w:numPr>
        <w:tabs>
          <w:tab w:val="clear" w:pos="1440"/>
          <w:tab w:val="left" w:pos="1080" w:leader="none"/>
        </w:tabs>
        <w:bidi w:val="0"/>
        <w:spacing w:lineRule="auto" w:line="360"/>
        <w:ind w:hanging="360" w:start="1080"/>
        <w:jc w:val="start"/>
        <w:rPr>
          <w:rFonts w:ascii="Times New Roman" w:hAnsi="Times New Roman"/>
        </w:rPr>
      </w:pPr>
      <w:r>
        <w:rPr/>
        <w:t>On the other hand, if capacity is constrained, might that cause price decreases due to competition by suppliers to get gas to a constrained market, similar to what happened when San Juan supplies were constrained?</w:t>
      </w:r>
    </w:p>
    <w:p>
      <w:pPr>
        <w:pStyle w:val="BodyText2"/>
        <w:numPr>
          <w:ilvl w:val="0"/>
          <w:numId w:val="0"/>
        </w:numPr>
        <w:tabs>
          <w:tab w:val="clear" w:pos="1440"/>
        </w:tabs>
        <w:bidi w:val="0"/>
        <w:spacing w:lineRule="auto" w:line="360"/>
        <w:ind w:firstLine="360" w:start="1080"/>
        <w:jc w:val="start"/>
        <w:rPr>
          <w:rFonts w:ascii="Times New Roman" w:hAnsi="Times New Roman"/>
          <w:i/>
          <w:i/>
        </w:rPr>
      </w:pPr>
      <w:r>
        <w:rPr>
          <w:i/>
        </w:rPr>
      </w:r>
    </w:p>
    <w:p>
      <w:pPr>
        <w:pStyle w:val="BodyText2"/>
        <w:numPr>
          <w:ilvl w:val="0"/>
          <w:numId w:val="0"/>
        </w:numPr>
        <w:tabs>
          <w:tab w:val="clear" w:pos="1440"/>
        </w:tabs>
        <w:bidi w:val="0"/>
        <w:spacing w:lineRule="auto" w:line="360"/>
        <w:ind w:firstLine="360" w:start="1080"/>
        <w:jc w:val="start"/>
        <w:rPr>
          <w:rFonts w:ascii="Times New Roman" w:hAnsi="Times New Roman"/>
        </w:rPr>
      </w:pPr>
      <w:r>
        <w:rPr>
          <w:i/>
        </w:rPr>
        <w:t>Response:</w:t>
      </w:r>
      <w:r>
        <w:rPr/>
        <w:t xml:space="preserve">  No.  When supplies are “bottled up” in a supply basin because of insufficient take-away capacity, producers will cut prices to try to get their gas out of the basin.  Similar price-cutting will not take place to get the gas into an area, because the producers have other markets (</w:t>
      </w:r>
      <w:r>
        <w:rPr>
          <w:i/>
        </w:rPr>
        <w:t>e.g.,</w:t>
      </w:r>
      <w:r>
        <w:rPr/>
        <w:t xml:space="preserve"> Midwestern markets) for their gas.  Instead, the producers will consider the netback revenues that could be earned in all of the markets that are available to them once they get their gas out of the supply basin onto the interstate grid.  They will set their netback prices to maximize overall revenue from the most attractive North American markets.  Therefore, if the San Juan or Canadian producers need to discount heavily to get into the California market, they will be more likely to move more gas into the Midwestern and Eastern markets.</w:t>
      </w:r>
    </w:p>
    <w:p>
      <w:pPr>
        <w:pStyle w:val="BodyText2"/>
        <w:numPr>
          <w:ilvl w:val="0"/>
          <w:numId w:val="0"/>
        </w:numPr>
        <w:tabs>
          <w:tab w:val="clear" w:pos="1440"/>
        </w:tabs>
        <w:bidi w:val="0"/>
        <w:spacing w:lineRule="auto" w:line="360"/>
        <w:ind w:hanging="0" w:start="1080"/>
        <w:jc w:val="start"/>
        <w:rPr>
          <w:rFonts w:ascii="Times New Roman" w:hAnsi="Times New Roman"/>
        </w:rPr>
      </w:pPr>
      <w:r>
        <w:rPr/>
      </w:r>
    </w:p>
    <w:p>
      <w:pPr>
        <w:pStyle w:val="BodyText2"/>
        <w:numPr>
          <w:ilvl w:val="1"/>
          <w:numId w:val="1"/>
        </w:numPr>
        <w:tabs>
          <w:tab w:val="clear" w:pos="1440"/>
          <w:tab w:val="left" w:pos="1080" w:leader="none"/>
        </w:tabs>
        <w:bidi w:val="0"/>
        <w:spacing w:lineRule="auto" w:line="360"/>
        <w:ind w:hanging="360" w:start="1080"/>
        <w:jc w:val="start"/>
        <w:rPr>
          <w:rFonts w:ascii="Times New Roman" w:hAnsi="Times New Roman"/>
        </w:rPr>
      </w:pPr>
      <w:r>
        <w:rPr/>
        <w:t xml:space="preserve">Do you think it is likely that receipt point capacity would be oversubscribed?  </w:t>
      </w:r>
    </w:p>
    <w:p>
      <w:pPr>
        <w:pStyle w:val="BodyText2"/>
        <w:numPr>
          <w:ilvl w:val="0"/>
          <w:numId w:val="0"/>
        </w:numPr>
        <w:tabs>
          <w:tab w:val="clear" w:pos="1440"/>
        </w:tabs>
        <w:bidi w:val="0"/>
        <w:spacing w:lineRule="auto" w:line="360"/>
        <w:ind w:firstLine="360" w:start="1080"/>
        <w:jc w:val="start"/>
        <w:rPr>
          <w:rFonts w:ascii="Times New Roman" w:hAnsi="Times New Roman"/>
          <w:i/>
          <w:i/>
        </w:rPr>
      </w:pPr>
      <w:r>
        <w:rPr>
          <w:i/>
        </w:rPr>
      </w:r>
    </w:p>
    <w:p>
      <w:pPr>
        <w:pStyle w:val="BodyText2"/>
        <w:numPr>
          <w:ilvl w:val="0"/>
          <w:numId w:val="0"/>
        </w:numPr>
        <w:tabs>
          <w:tab w:val="clear" w:pos="1440"/>
        </w:tabs>
        <w:bidi w:val="0"/>
        <w:spacing w:lineRule="auto" w:line="360"/>
        <w:ind w:firstLine="360" w:start="1080"/>
        <w:jc w:val="start"/>
        <w:rPr>
          <w:rFonts w:ascii="Times New Roman" w:hAnsi="Times New Roman"/>
        </w:rPr>
      </w:pPr>
      <w:r>
        <w:rPr>
          <w:i/>
        </w:rPr>
        <w:t>Response:</w:t>
      </w:r>
      <w:r>
        <w:rPr/>
        <w:t xml:space="preserve">  Yes.  Receipt point capacity at Topock and North Needles will almost certainly be oversubscribed.  These intake points had annual average load factors of 94 and 86 percent, respectively, during 1999.  </w:t>
      </w:r>
      <w:r>
        <w:rPr>
          <w:i/>
        </w:rPr>
        <w:t>See</w:t>
      </w:r>
      <w:r>
        <w:rPr/>
        <w:t xml:space="preserve"> Attachment A, which is SoCalGas 1999 operating data reporting supply receipts by receipt point.  </w:t>
      </w:r>
    </w:p>
    <w:p>
      <w:pPr>
        <w:pStyle w:val="BodyText2"/>
        <w:numPr>
          <w:ilvl w:val="0"/>
          <w:numId w:val="0"/>
        </w:numPr>
        <w:tabs>
          <w:tab w:val="clear" w:pos="1440"/>
        </w:tabs>
        <w:bidi w:val="0"/>
        <w:spacing w:lineRule="auto" w:line="360"/>
        <w:ind w:firstLine="360" w:start="1080"/>
        <w:jc w:val="start"/>
        <w:rPr>
          <w:rFonts w:ascii="Times New Roman" w:hAnsi="Times New Roman"/>
        </w:rPr>
      </w:pPr>
      <w:r>
        <w:rPr/>
        <w:t xml:space="preserve">The Commission should be concerned that receipt point capacity across SoCalGas’ system may be fully or nearly fully subscribed under the CSA.  Under the CSA, customers could no longer simply nominate the amount of supply that they have to bring into SoCalGas’ system at that point in time.  Rather they must previously reserve the capacity to permit such a nomination.  Customers must consider their peak requirements for capacity when determining how much to reserve.  If their requirements are firm, such as they are for electric generators, they must reserve capacity either for flowing supplies or storage withdrawal.  Otherwise, they risk being caught with insufficient supplies when they have to pull their peak requirements from the system.  As an additional factor, the much more limited balancing system proposed in the CSA, including the loss of the benefits of system-wide balancing, forces customers to be that much more careful about matching demand and supplies.  </w:t>
      </w:r>
    </w:p>
    <w:p>
      <w:pPr>
        <w:pStyle w:val="BodyText2"/>
        <w:numPr>
          <w:ilvl w:val="0"/>
          <w:numId w:val="0"/>
        </w:numPr>
        <w:tabs>
          <w:tab w:val="clear" w:pos="1440"/>
        </w:tabs>
        <w:bidi w:val="0"/>
        <w:spacing w:lineRule="auto" w:line="360"/>
        <w:ind w:firstLine="360" w:start="1080"/>
        <w:jc w:val="start"/>
        <w:rPr>
          <w:rFonts w:ascii="Times New Roman" w:hAnsi="Times New Roman"/>
        </w:rPr>
      </w:pPr>
      <w:r>
        <w:rPr/>
        <w:t>Furthermore, there likely to be is significant marketer interest in the southern California intrastate capacity, as has been for the PG&amp;E capacity.  This will add marketer demand to customer demand.  The marketers are likely to absorb any reserve supplies of capacity that might otherwise be left as excess.  While the marketers may not use their capacity in off-season periods, it is not at all clear that they would release the capacity.  They may withhold capacity to drive up the price, or they may reserve it for service to customers that take bundled gas service.  Therefore, if a customer is to “rely” upon the capacity that is reserved by marketers, the customer may be forced to take interruptible capacity (assuming that SoCalGas chooses to make interruptible capacity available).  There are marked disadvantages to interruptible capacity, however.  A customer may be bumped after the completion of cycle 1 nominations.  This creates significant risks for customers that require firm gas supply.  In addition, SoCalGas will be able to market this interruptible capacity at 120% of the full embedded-cost rate.</w:t>
      </w:r>
    </w:p>
    <w:p>
      <w:pPr>
        <w:pStyle w:val="BodyText2"/>
        <w:numPr>
          <w:ilvl w:val="0"/>
          <w:numId w:val="0"/>
        </w:numPr>
        <w:tabs>
          <w:tab w:val="clear" w:pos="1440"/>
        </w:tabs>
        <w:bidi w:val="0"/>
        <w:spacing w:lineRule="auto" w:line="360"/>
        <w:ind w:hanging="0" w:start="1080"/>
        <w:jc w:val="start"/>
        <w:rPr>
          <w:rFonts w:ascii="Times New Roman" w:hAnsi="Times New Roman"/>
        </w:rPr>
      </w:pPr>
      <w:r>
        <w:rPr/>
      </w:r>
    </w:p>
    <w:p>
      <w:pPr>
        <w:pStyle w:val="BodyText2"/>
        <w:numPr>
          <w:ilvl w:val="1"/>
          <w:numId w:val="3"/>
        </w:numPr>
        <w:tabs>
          <w:tab w:val="clear" w:pos="1440"/>
          <w:tab w:val="left" w:pos="1080" w:leader="none"/>
        </w:tabs>
        <w:bidi w:val="0"/>
        <w:spacing w:lineRule="auto" w:line="360"/>
        <w:jc w:val="start"/>
        <w:rPr>
          <w:rFonts w:ascii="Times New Roman" w:hAnsi="Times New Roman"/>
        </w:rPr>
      </w:pPr>
      <w:r>
        <w:rPr/>
        <w:t xml:space="preserve">Even at Blythe?  Why? </w:t>
      </w:r>
    </w:p>
    <w:p>
      <w:pPr>
        <w:pStyle w:val="BodyText2"/>
        <w:numPr>
          <w:ilvl w:val="0"/>
          <w:numId w:val="0"/>
        </w:numPr>
        <w:tabs>
          <w:tab w:val="clear" w:pos="1440"/>
        </w:tabs>
        <w:bidi w:val="0"/>
        <w:spacing w:lineRule="auto" w:line="360"/>
        <w:ind w:firstLine="360" w:start="1080"/>
        <w:jc w:val="start"/>
        <w:rPr>
          <w:rFonts w:ascii="Times New Roman" w:hAnsi="Times New Roman"/>
          <w:i/>
          <w:i/>
        </w:rPr>
      </w:pPr>
      <w:r>
        <w:rPr>
          <w:i/>
        </w:rPr>
      </w:r>
    </w:p>
    <w:p>
      <w:pPr>
        <w:pStyle w:val="BodyText2"/>
        <w:numPr>
          <w:ilvl w:val="0"/>
          <w:numId w:val="0"/>
        </w:numPr>
        <w:tabs>
          <w:tab w:val="clear" w:pos="1440"/>
        </w:tabs>
        <w:bidi w:val="0"/>
        <w:spacing w:lineRule="auto" w:line="360"/>
        <w:ind w:firstLine="360" w:start="1080"/>
        <w:jc w:val="start"/>
        <w:rPr>
          <w:rFonts w:ascii="Times New Roman" w:hAnsi="Times New Roman"/>
        </w:rPr>
      </w:pPr>
      <w:r>
        <w:rPr>
          <w:i/>
        </w:rPr>
        <w:t>Response:</w:t>
      </w:r>
      <w:r>
        <w:rPr/>
        <w:t xml:space="preserve">  The capacity at Blythe may be the last to be reserved, but if customers require (or marketers desire) firm capacity into the system, they will take the capacity and deal with the necessary arrangements on the upstream pipeline systems to bring the gas in through that point.  For example, if shippers wish to move gas from the San Juan Basin into SoCalGas’ system through Blythe, they can use several north/south interconnects on El Paso system to make the transaction.  Furthermore, if capacity became available from a fully subscribed receipt point such as Topock, it would sell at a premium on the secondary markets.  There is no price cap for the secondary market transactions under the CSA.  This would further contribute to making Blythe capacity attractive.</w:t>
      </w:r>
    </w:p>
    <w:p>
      <w:pPr>
        <w:pStyle w:val="BodyText2"/>
        <w:numPr>
          <w:ilvl w:val="0"/>
          <w:numId w:val="0"/>
        </w:numPr>
        <w:tabs>
          <w:tab w:val="clear" w:pos="1440"/>
        </w:tabs>
        <w:bidi w:val="0"/>
        <w:spacing w:lineRule="auto" w:line="360"/>
        <w:ind w:hanging="0" w:start="1080"/>
        <w:jc w:val="start"/>
        <w:rPr>
          <w:rFonts w:ascii="Times New Roman" w:hAnsi="Times New Roman"/>
        </w:rPr>
      </w:pPr>
      <w:r>
        <w:rPr/>
      </w:r>
    </w:p>
    <w:p>
      <w:pPr>
        <w:pStyle w:val="BodyText2"/>
        <w:numPr>
          <w:ilvl w:val="1"/>
          <w:numId w:val="1"/>
        </w:numPr>
        <w:tabs>
          <w:tab w:val="clear" w:pos="1440"/>
          <w:tab w:val="left" w:pos="1080" w:leader="none"/>
        </w:tabs>
        <w:bidi w:val="0"/>
        <w:spacing w:lineRule="auto" w:line="360"/>
        <w:ind w:hanging="360" w:start="1080"/>
        <w:jc w:val="start"/>
        <w:rPr>
          <w:rFonts w:ascii="Times New Roman" w:hAnsi="Times New Roman"/>
        </w:rPr>
      </w:pPr>
      <w:r>
        <w:rPr/>
        <w:t>Hasn’t it been the case that San Juan prices have generally been below Permian prices until very recently?</w:t>
      </w:r>
    </w:p>
    <w:p>
      <w:pPr>
        <w:pStyle w:val="BodyText2"/>
        <w:numPr>
          <w:ilvl w:val="0"/>
          <w:numId w:val="0"/>
        </w:numPr>
        <w:tabs>
          <w:tab w:val="clear" w:pos="1440"/>
        </w:tabs>
        <w:bidi w:val="0"/>
        <w:spacing w:lineRule="auto" w:line="360"/>
        <w:ind w:firstLine="360" w:start="1080"/>
        <w:jc w:val="start"/>
        <w:rPr>
          <w:rFonts w:ascii="Times New Roman" w:hAnsi="Times New Roman"/>
          <w:i/>
          <w:i/>
        </w:rPr>
      </w:pPr>
      <w:r>
        <w:rPr>
          <w:i/>
        </w:rPr>
      </w:r>
    </w:p>
    <w:p>
      <w:pPr>
        <w:pStyle w:val="BodyText2"/>
        <w:numPr>
          <w:ilvl w:val="0"/>
          <w:numId w:val="0"/>
        </w:numPr>
        <w:tabs>
          <w:tab w:val="clear" w:pos="1440"/>
        </w:tabs>
        <w:bidi w:val="0"/>
        <w:spacing w:lineRule="auto" w:line="360"/>
        <w:ind w:firstLine="360" w:start="1080"/>
        <w:jc w:val="start"/>
        <w:rPr>
          <w:rFonts w:ascii="Times New Roman" w:hAnsi="Times New Roman"/>
        </w:rPr>
      </w:pPr>
      <w:r>
        <w:rPr>
          <w:i/>
        </w:rPr>
        <w:t>Response:</w:t>
      </w:r>
      <w:r>
        <w:rPr/>
        <w:t xml:space="preserve">  During previous years, there has been a “San Juan differential”.  The gas from the San Juan Basin has sold at a discount relative to other basins.  There was a bottled-up gas problem, but it has been largely, if not entirely, rectified by additions to take-away capacity in the pipeline systems serving the region.  For example, backhauling on the El Paso system allows San Juan gas to reach the mid-western markets through the hub in Waha, West Texas.  An excerpt from SoCalGas’ July 1998 Market Conditions Report provides an explanation of these developments:</w:t>
      </w:r>
    </w:p>
    <w:p>
      <w:pPr>
        <w:pStyle w:val="BlockText"/>
        <w:bidi w:val="0"/>
        <w:spacing w:lineRule="auto" w:line="240"/>
        <w:jc w:val="start"/>
        <w:rPr>
          <w:rFonts w:ascii="Times New Roman" w:hAnsi="Times New Roman"/>
        </w:rPr>
      </w:pPr>
      <w:r>
        <w:rPr/>
        <w:t>The western region has a 100% surplus of gas production relative to demand.  Excess production is transported east to other U.S. and Canadian markets, which have insufficient indigenous gas supplies.  However, much of the western region’s gas supply is constrained from moving east due to pipeline capacity growth falling short of growth in gas production.</w:t>
      </w:r>
    </w:p>
    <w:p>
      <w:pPr>
        <w:pStyle w:val="BlockText"/>
        <w:bidi w:val="0"/>
        <w:spacing w:lineRule="auto" w:line="240"/>
        <w:jc w:val="start"/>
        <w:rPr>
          <w:rFonts w:ascii="Times New Roman" w:hAnsi="Times New Roman"/>
        </w:rPr>
      </w:pPr>
      <w:r>
        <w:rPr/>
        <w:t>Recent Rocky Mountain supply pipeline additions and expansions include 900 MMcfd of capacity to move gas south and east.  There were also 750 MMcfd of expansion and reconfigurations on El Paso and Transwestern pipelines to move San Juan gas into Texas.  Constraints in moving western Canada gas to eastern markets will be significantly alleviated within the next year due to major expansions on the TransCanada and Northern Border pipelines, which are targeting the Chicago market.  A 700 MMcfd expansion project to deliver Alberta gas to the Midwest is scheduled to begin flowing later this year, with a 1.3 Bcfd competing pipeline project planned for 2001.  In all, over 3 Bcfd of pipeline projects to move gas to the Midwestern and Northeast U.S. markets are being contemplated.</w:t>
      </w:r>
    </w:p>
    <w:p>
      <w:pPr>
        <w:pStyle w:val="BodyText2"/>
        <w:numPr>
          <w:ilvl w:val="0"/>
          <w:numId w:val="0"/>
        </w:numPr>
        <w:tabs>
          <w:tab w:val="clear" w:pos="1440"/>
        </w:tabs>
        <w:bidi w:val="0"/>
        <w:spacing w:lineRule="auto" w:line="360"/>
        <w:ind w:hanging="0" w:start="1080"/>
        <w:jc w:val="start"/>
        <w:rPr>
          <w:rFonts w:ascii="Times New Roman" w:hAnsi="Times New Roman"/>
        </w:rPr>
      </w:pPr>
      <w:r>
        <w:rPr/>
        <w:t>Exh. 9 in R.98-01-011, July 15, 1998 at 1-12 to 1-13.</w:t>
      </w:r>
    </w:p>
    <w:p>
      <w:pPr>
        <w:pStyle w:val="BodyText2"/>
        <w:numPr>
          <w:ilvl w:val="0"/>
          <w:numId w:val="0"/>
        </w:numPr>
        <w:tabs>
          <w:tab w:val="clear" w:pos="1440"/>
        </w:tabs>
        <w:bidi w:val="0"/>
        <w:spacing w:lineRule="auto" w:line="360"/>
        <w:ind w:hanging="0" w:start="1080"/>
        <w:jc w:val="start"/>
        <w:rPr>
          <w:rFonts w:ascii="Times New Roman" w:hAnsi="Times New Roman"/>
        </w:rPr>
      </w:pPr>
      <w:r>
        <w:rPr/>
      </w:r>
    </w:p>
    <w:p>
      <w:pPr>
        <w:pStyle w:val="BodyText2"/>
        <w:numPr>
          <w:ilvl w:val="1"/>
          <w:numId w:val="4"/>
        </w:numPr>
        <w:tabs>
          <w:tab w:val="clear" w:pos="1440"/>
          <w:tab w:val="left" w:pos="720" w:leader="none"/>
        </w:tabs>
        <w:bidi w:val="0"/>
        <w:spacing w:lineRule="auto" w:line="360"/>
        <w:jc w:val="start"/>
        <w:rPr>
          <w:rFonts w:ascii="Times New Roman" w:hAnsi="Times New Roman"/>
        </w:rPr>
      </w:pPr>
      <w:r>
        <w:rPr/>
        <w:t xml:space="preserve">Exh. 101, pg 19:  You provide a Figure 1.  </w:t>
      </w:r>
    </w:p>
    <w:p>
      <w:pPr>
        <w:pStyle w:val="BodyText2"/>
        <w:numPr>
          <w:ilvl w:val="1"/>
          <w:numId w:val="2"/>
        </w:numPr>
        <w:tabs>
          <w:tab w:val="clear" w:pos="1440"/>
          <w:tab w:val="left" w:pos="1080" w:leader="none"/>
        </w:tabs>
        <w:bidi w:val="0"/>
        <w:spacing w:lineRule="auto" w:line="360"/>
        <w:ind w:hanging="360" w:start="1080"/>
        <w:jc w:val="start"/>
        <w:rPr>
          <w:rFonts w:ascii="Times New Roman" w:hAnsi="Times New Roman"/>
        </w:rPr>
      </w:pPr>
      <w:r>
        <w:rPr/>
        <w:t xml:space="preserve">How does this figure apply if at all to SoCalGas core customers?  </w:t>
      </w:r>
    </w:p>
    <w:p>
      <w:pPr>
        <w:pStyle w:val="BodyText2"/>
        <w:numPr>
          <w:ilvl w:val="0"/>
          <w:numId w:val="0"/>
        </w:numPr>
        <w:tabs>
          <w:tab w:val="clear" w:pos="1440"/>
        </w:tabs>
        <w:bidi w:val="0"/>
        <w:spacing w:lineRule="auto" w:line="360"/>
        <w:ind w:firstLine="360" w:start="1080"/>
        <w:jc w:val="start"/>
        <w:rPr>
          <w:rFonts w:ascii="Times New Roman" w:hAnsi="Times New Roman"/>
          <w:i/>
          <w:i/>
        </w:rPr>
      </w:pPr>
      <w:r>
        <w:rPr>
          <w:i/>
        </w:rPr>
      </w:r>
    </w:p>
    <w:p>
      <w:pPr>
        <w:pStyle w:val="BodyText2"/>
        <w:numPr>
          <w:ilvl w:val="0"/>
          <w:numId w:val="0"/>
        </w:numPr>
        <w:tabs>
          <w:tab w:val="clear" w:pos="1440"/>
        </w:tabs>
        <w:bidi w:val="0"/>
        <w:spacing w:lineRule="auto" w:line="360"/>
        <w:ind w:firstLine="360" w:start="1080"/>
        <w:jc w:val="start"/>
        <w:rPr>
          <w:rFonts w:ascii="Times New Roman" w:hAnsi="Times New Roman"/>
        </w:rPr>
      </w:pPr>
      <w:r>
        <w:rPr>
          <w:i/>
        </w:rPr>
        <w:t>Response:</w:t>
      </w:r>
      <w:r>
        <w:rPr/>
        <w:t xml:space="preserve">  This figure applies to core customers the same way it applies to noncore low-load factor customers.  What Figure 1 illustrates is the effective unit cost that is associated with increasing the amount of costs that are fixed (capacity reservation) for the core, which is a lower load factor customer.  The effect of load factor on core rates under one possible higher capacity reservation option has been illustrated in Exh 102, pg. 26, lines 28-30.  </w:t>
      </w:r>
    </w:p>
    <w:p>
      <w:pPr>
        <w:pStyle w:val="BodyText2"/>
        <w:numPr>
          <w:ilvl w:val="0"/>
          <w:numId w:val="0"/>
        </w:numPr>
        <w:tabs>
          <w:tab w:val="clear" w:pos="1440"/>
        </w:tabs>
        <w:bidi w:val="0"/>
        <w:spacing w:lineRule="auto" w:line="360"/>
        <w:ind w:firstLine="360" w:start="1080"/>
        <w:jc w:val="start"/>
        <w:rPr>
          <w:rFonts w:ascii="Times New Roman" w:hAnsi="Times New Roman"/>
        </w:rPr>
      </w:pPr>
      <w:r>
        <w:rPr/>
        <w:t xml:space="preserve">Furthermore, even with the lower amount of capacity reservation proposed in the CSA, the core’s load factor increases the cost of capacity above the 7.2 cents/dth level quoted in the CSA.  This happens because while the core uses an amount of capacity during off-peak or shoulder periods that is close to the 1000 MMcf/d annual reservation proposed in the CSA (average core flowing supplies from 3-15-99 to 10-15-99 was about 1044 MMcf/d due to burn or injection to storage), the core has to buy additional gas and/or capacity during the high demand periods to cover its peak requirements for flowing gas.  For example, the core was above 1000 MMcf/d level during 130 days in 1999, per Exh 102, pg. 26, lines 3-8.  </w:t>
      </w:r>
    </w:p>
    <w:p>
      <w:pPr>
        <w:pStyle w:val="BodyText2"/>
        <w:numPr>
          <w:ilvl w:val="0"/>
          <w:numId w:val="0"/>
        </w:numPr>
        <w:tabs>
          <w:tab w:val="clear" w:pos="1440"/>
        </w:tabs>
        <w:bidi w:val="0"/>
        <w:spacing w:lineRule="auto" w:line="360"/>
        <w:ind w:firstLine="360" w:start="1080"/>
        <w:jc w:val="start"/>
        <w:rPr>
          <w:rFonts w:ascii="Times New Roman" w:hAnsi="Times New Roman"/>
        </w:rPr>
      </w:pPr>
      <w:r>
        <w:rPr/>
        <w:t xml:space="preserve">If the core purchased an extra 350 MMcf/d of backbone intrastate capacity on a seasonal basis during the five colder months to cover its peak requirements, this would add costs.  For example, taking into account both the cost of the proposed 1000 MMcf/d annual capacity reservation, which is $26.654 million at the SFV rate and the 350 MMcf/d “seasonal” capacity, which is $4.601 million at the 120 percent seasonal SFV rate, the average rate for an SFV reservation would be 9.2 cents/dth.  (This figure is derived by adding together the two sets of capacity costs and dividing by the throughput of 339,873 Mdth as set forth in Att. 8 of Lorenz’s Direct Testimony.)  If the core purchased seasonal capacity on the secondary market, it could face a rate that was higher than the 120 percent seasonal SFV rate.  </w:t>
      </w:r>
    </w:p>
    <w:p>
      <w:pPr>
        <w:pStyle w:val="BodyText2"/>
        <w:numPr>
          <w:ilvl w:val="0"/>
          <w:numId w:val="0"/>
        </w:numPr>
        <w:tabs>
          <w:tab w:val="clear" w:pos="1440"/>
        </w:tabs>
        <w:bidi w:val="0"/>
        <w:spacing w:lineRule="auto" w:line="360"/>
        <w:ind w:hanging="0" w:start="1080"/>
        <w:jc w:val="start"/>
        <w:rPr>
          <w:rFonts w:ascii="Times New Roman" w:hAnsi="Times New Roman"/>
        </w:rPr>
      </w:pPr>
      <w:r>
        <w:rPr/>
      </w:r>
    </w:p>
    <w:p>
      <w:pPr>
        <w:pStyle w:val="BodyText2"/>
        <w:numPr>
          <w:ilvl w:val="1"/>
          <w:numId w:val="2"/>
        </w:numPr>
        <w:tabs>
          <w:tab w:val="clear" w:pos="1440"/>
          <w:tab w:val="left" w:pos="1080" w:leader="none"/>
        </w:tabs>
        <w:bidi w:val="0"/>
        <w:spacing w:lineRule="auto" w:line="360"/>
        <w:ind w:hanging="360" w:start="1080"/>
        <w:jc w:val="start"/>
        <w:rPr>
          <w:rFonts w:ascii="Times New Roman" w:hAnsi="Times New Roman"/>
        </w:rPr>
      </w:pPr>
      <w:r>
        <w:rPr/>
        <w:t xml:space="preserve">With balancing account treatment under the CFCA, isn’t SoCalGas going to collect its revenue requirement for core customers regardless of the sales fluctuations?  </w:t>
      </w:r>
    </w:p>
    <w:p>
      <w:pPr>
        <w:pStyle w:val="BodyText2"/>
        <w:numPr>
          <w:ilvl w:val="0"/>
          <w:numId w:val="0"/>
        </w:numPr>
        <w:tabs>
          <w:tab w:val="clear" w:pos="1440"/>
        </w:tabs>
        <w:bidi w:val="0"/>
        <w:spacing w:lineRule="auto" w:line="360"/>
        <w:ind w:firstLine="360" w:start="1080"/>
        <w:jc w:val="start"/>
        <w:rPr>
          <w:rFonts w:ascii="Times New Roman" w:hAnsi="Times New Roman"/>
          <w:i/>
          <w:i/>
        </w:rPr>
      </w:pPr>
      <w:r>
        <w:rPr>
          <w:i/>
        </w:rPr>
      </w:r>
    </w:p>
    <w:p>
      <w:pPr>
        <w:pStyle w:val="BodyText2"/>
        <w:numPr>
          <w:ilvl w:val="0"/>
          <w:numId w:val="0"/>
        </w:numPr>
        <w:tabs>
          <w:tab w:val="clear" w:pos="1440"/>
        </w:tabs>
        <w:bidi w:val="0"/>
        <w:spacing w:lineRule="auto" w:line="360"/>
        <w:ind w:firstLine="360" w:start="1080"/>
        <w:jc w:val="start"/>
        <w:rPr>
          <w:rFonts w:ascii="Times New Roman" w:hAnsi="Times New Roman"/>
        </w:rPr>
      </w:pPr>
      <w:r>
        <w:rPr>
          <w:i/>
        </w:rPr>
        <w:t xml:space="preserve">Response:  </w:t>
      </w:r>
      <w:r>
        <w:rPr/>
        <w:t xml:space="preserve">The issue is not balancing account treatment of cost recovery for SoCalGas—this simply guarantees that the core’s revenue requirement (however it is determined) is spread over the actual sales rather than forecast sales.  </w:t>
      </w:r>
    </w:p>
    <w:p>
      <w:pPr>
        <w:pStyle w:val="BodyText2"/>
        <w:numPr>
          <w:ilvl w:val="0"/>
          <w:numId w:val="0"/>
        </w:numPr>
        <w:tabs>
          <w:tab w:val="clear" w:pos="1440"/>
        </w:tabs>
        <w:bidi w:val="0"/>
        <w:spacing w:lineRule="auto" w:line="360"/>
        <w:ind w:firstLine="360" w:start="1080"/>
        <w:jc w:val="start"/>
        <w:rPr>
          <w:rFonts w:ascii="Times New Roman" w:hAnsi="Times New Roman"/>
        </w:rPr>
      </w:pPr>
      <w:r>
        <w:rPr/>
      </w:r>
    </w:p>
    <w:p>
      <w:pPr>
        <w:pStyle w:val="BodyText2"/>
        <w:numPr>
          <w:ilvl w:val="1"/>
          <w:numId w:val="2"/>
        </w:numPr>
        <w:tabs>
          <w:tab w:val="clear" w:pos="1440"/>
          <w:tab w:val="left" w:pos="1080" w:leader="none"/>
        </w:tabs>
        <w:bidi w:val="0"/>
        <w:spacing w:lineRule="auto" w:line="360"/>
        <w:ind w:hanging="360" w:start="1080"/>
        <w:jc w:val="start"/>
        <w:rPr>
          <w:rFonts w:ascii="Times New Roman" w:hAnsi="Times New Roman"/>
        </w:rPr>
      </w:pPr>
      <w:r>
        <w:rPr/>
        <w:t>Does this figure mainly apply to noncore customers?</w:t>
      </w:r>
    </w:p>
    <w:p>
      <w:pPr>
        <w:pStyle w:val="BodyText2"/>
        <w:numPr>
          <w:ilvl w:val="0"/>
          <w:numId w:val="0"/>
        </w:numPr>
        <w:tabs>
          <w:tab w:val="clear" w:pos="1440"/>
        </w:tabs>
        <w:bidi w:val="0"/>
        <w:spacing w:lineRule="auto" w:line="360"/>
        <w:ind w:firstLine="360" w:start="1080"/>
        <w:jc w:val="start"/>
        <w:rPr>
          <w:rFonts w:ascii="Times New Roman" w:hAnsi="Times New Roman"/>
          <w:i/>
          <w:i/>
        </w:rPr>
      </w:pPr>
      <w:r>
        <w:rPr>
          <w:i/>
        </w:rPr>
      </w:r>
    </w:p>
    <w:p>
      <w:pPr>
        <w:pStyle w:val="BodyText2"/>
        <w:numPr>
          <w:ilvl w:val="0"/>
          <w:numId w:val="0"/>
        </w:numPr>
        <w:tabs>
          <w:tab w:val="clear" w:pos="1440"/>
        </w:tabs>
        <w:bidi w:val="0"/>
        <w:spacing w:lineRule="auto" w:line="360"/>
        <w:ind w:firstLine="360" w:start="1080"/>
        <w:jc w:val="start"/>
        <w:rPr>
          <w:rFonts w:ascii="Times New Roman" w:hAnsi="Times New Roman"/>
        </w:rPr>
      </w:pPr>
      <w:r>
        <w:rPr>
          <w:i/>
        </w:rPr>
        <w:t xml:space="preserve">Response:  </w:t>
      </w:r>
      <w:r>
        <w:rPr/>
        <w:t xml:space="preserve">No.  See the previous answers.  </w:t>
      </w:r>
    </w:p>
    <w:p>
      <w:pPr>
        <w:pStyle w:val="BodyText2"/>
        <w:numPr>
          <w:ilvl w:val="0"/>
          <w:numId w:val="0"/>
        </w:numPr>
        <w:tabs>
          <w:tab w:val="clear" w:pos="1440"/>
        </w:tabs>
        <w:bidi w:val="0"/>
        <w:spacing w:lineRule="auto" w:line="360"/>
        <w:ind w:firstLine="360" w:start="1080"/>
        <w:jc w:val="start"/>
        <w:rPr>
          <w:rFonts w:ascii="Times New Roman" w:hAnsi="Times New Roman"/>
        </w:rPr>
      </w:pPr>
      <w:r>
        <w:rPr/>
      </w:r>
    </w:p>
    <w:p>
      <w:pPr>
        <w:pStyle w:val="BodyText2"/>
        <w:numPr>
          <w:ilvl w:val="1"/>
          <w:numId w:val="2"/>
        </w:numPr>
        <w:tabs>
          <w:tab w:val="clear" w:pos="1440"/>
          <w:tab w:val="left" w:pos="1080" w:leader="none"/>
        </w:tabs>
        <w:bidi w:val="0"/>
        <w:spacing w:lineRule="auto" w:line="360"/>
        <w:ind w:hanging="360" w:start="1080"/>
        <w:jc w:val="start"/>
        <w:rPr>
          <w:rFonts w:ascii="Times New Roman" w:hAnsi="Times New Roman"/>
        </w:rPr>
      </w:pPr>
      <w:r>
        <w:rPr/>
        <w:t>How much of a typical noncore customer’s rate is the backbone transmission rate under the CS?</w:t>
      </w:r>
    </w:p>
    <w:p>
      <w:pPr>
        <w:pStyle w:val="BodyText2"/>
        <w:numPr>
          <w:ilvl w:val="0"/>
          <w:numId w:val="0"/>
        </w:numPr>
        <w:tabs>
          <w:tab w:val="clear" w:pos="1440"/>
        </w:tabs>
        <w:bidi w:val="0"/>
        <w:spacing w:lineRule="auto" w:line="360"/>
        <w:ind w:firstLine="720" w:start="720"/>
        <w:jc w:val="start"/>
        <w:rPr>
          <w:rFonts w:ascii="Times New Roman" w:hAnsi="Times New Roman"/>
          <w:i/>
          <w:i/>
        </w:rPr>
      </w:pPr>
      <w:r>
        <w:rPr>
          <w:i/>
        </w:rPr>
      </w:r>
    </w:p>
    <w:p>
      <w:pPr>
        <w:pStyle w:val="BodyText2"/>
        <w:numPr>
          <w:ilvl w:val="0"/>
          <w:numId w:val="0"/>
        </w:numPr>
        <w:tabs>
          <w:tab w:val="clear" w:pos="1440"/>
        </w:tabs>
        <w:bidi w:val="0"/>
        <w:spacing w:lineRule="auto" w:line="360"/>
        <w:ind w:firstLine="720" w:start="720"/>
        <w:jc w:val="start"/>
        <w:rPr>
          <w:rFonts w:ascii="Times New Roman" w:hAnsi="Times New Roman"/>
        </w:rPr>
      </w:pPr>
      <w:r>
        <w:rPr>
          <w:i/>
        </w:rPr>
        <w:t xml:space="preserve">Response:  </w:t>
      </w:r>
      <w:r>
        <w:rPr/>
        <w:t>The class average transportation rate for noncore customers (w/o EOR) is 3.778 cents/therm or 37.78 cents/dth.  D.00-04-060, App. D, Table 13, page 5, line 87.  The percentage that the backbone transmission represents of this rate depends upon the customer’s or customer class’ load factor.  For example, as cited in Exh. 102, page 21, the unit cost for any customer class (such as EG) with a load factor of 30 percent would rise to at least 16.5 cents/dth assuming the most favorable 50/50 rate design.  This represents about 44 percent of the average noncore transportation rate.</w:t>
      </w:r>
    </w:p>
    <w:p>
      <w:pPr>
        <w:pStyle w:val="BodyText2"/>
        <w:numPr>
          <w:ilvl w:val="0"/>
          <w:numId w:val="0"/>
        </w:numPr>
        <w:tabs>
          <w:tab w:val="clear" w:pos="1440"/>
        </w:tabs>
        <w:bidi w:val="0"/>
        <w:spacing w:lineRule="auto" w:line="360"/>
        <w:ind w:firstLine="720" w:start="720"/>
        <w:jc w:val="start"/>
        <w:rPr>
          <w:rFonts w:ascii="Times New Roman" w:hAnsi="Times New Roman"/>
        </w:rPr>
      </w:pPr>
      <w:r>
        <w:rPr/>
      </w:r>
    </w:p>
    <w:p>
      <w:pPr>
        <w:pStyle w:val="BodyText2"/>
        <w:numPr>
          <w:ilvl w:val="1"/>
          <w:numId w:val="4"/>
        </w:numPr>
        <w:tabs>
          <w:tab w:val="clear" w:pos="1440"/>
          <w:tab w:val="left" w:pos="720" w:leader="none"/>
        </w:tabs>
        <w:bidi w:val="0"/>
        <w:spacing w:lineRule="auto" w:line="360"/>
        <w:jc w:val="start"/>
        <w:rPr>
          <w:rFonts w:ascii="Times New Roman" w:hAnsi="Times New Roman"/>
        </w:rPr>
      </w:pPr>
      <w:r>
        <w:rPr/>
        <w:t>Exh. 101, pg. 30:  You indicate that there are “very significant synergies from the current system of system-wide balancing, yet on pg. 31, you indicate the Post-IS would eliminate the “special use of core assets in system balancing”.  Why?</w:t>
      </w:r>
    </w:p>
    <w:p>
      <w:pPr>
        <w:pStyle w:val="BodyText2"/>
        <w:numPr>
          <w:ilvl w:val="0"/>
          <w:numId w:val="0"/>
        </w:numPr>
        <w:tabs>
          <w:tab w:val="clear" w:pos="1440"/>
        </w:tabs>
        <w:bidi w:val="0"/>
        <w:spacing w:lineRule="auto" w:line="360"/>
        <w:ind w:firstLine="720" w:start="720"/>
        <w:jc w:val="start"/>
        <w:rPr>
          <w:rFonts w:ascii="Times New Roman" w:hAnsi="Times New Roman"/>
          <w:i/>
          <w:i/>
        </w:rPr>
      </w:pPr>
      <w:r>
        <w:rPr>
          <w:i/>
        </w:rPr>
      </w:r>
    </w:p>
    <w:p>
      <w:pPr>
        <w:pStyle w:val="BodyText2"/>
        <w:numPr>
          <w:ilvl w:val="0"/>
          <w:numId w:val="0"/>
        </w:numPr>
        <w:tabs>
          <w:tab w:val="clear" w:pos="1440"/>
        </w:tabs>
        <w:bidi w:val="0"/>
        <w:spacing w:lineRule="auto" w:line="360"/>
        <w:ind w:firstLine="720" w:start="720"/>
        <w:jc w:val="start"/>
        <w:rPr>
          <w:rFonts w:ascii="Times New Roman" w:hAnsi="Times New Roman"/>
        </w:rPr>
      </w:pPr>
      <w:r>
        <w:rPr>
          <w:i/>
        </w:rPr>
        <w:t xml:space="preserve">Response:  </w:t>
      </w:r>
      <w:r>
        <w:rPr/>
        <w:t xml:space="preserve">Core </w:t>
      </w:r>
      <w:r>
        <w:rPr>
          <w:u w:val="single"/>
        </w:rPr>
        <w:t>gas</w:t>
      </w:r>
      <w:r>
        <w:rPr/>
        <w:t xml:space="preserve"> would not be used to balance the system, but all customers would balance jointly, not core and noncore separately as under the CSA.  Furthermore, the core would be subject to the same balancing rules that are imposed on noncore customers.  Under the IS/PI, core and noncore customers would be sharing facilities and maximizing the efficiency of their usage of those facilities.  </w:t>
      </w:r>
    </w:p>
    <w:p>
      <w:pPr>
        <w:pStyle w:val="BodyText2"/>
        <w:numPr>
          <w:ilvl w:val="0"/>
          <w:numId w:val="0"/>
        </w:numPr>
        <w:tabs>
          <w:tab w:val="clear" w:pos="1440"/>
        </w:tabs>
        <w:bidi w:val="0"/>
        <w:spacing w:lineRule="auto" w:line="360"/>
        <w:ind w:firstLine="720" w:start="720"/>
        <w:jc w:val="start"/>
        <w:rPr>
          <w:rFonts w:ascii="Times New Roman" w:hAnsi="Times New Roman"/>
        </w:rPr>
      </w:pPr>
      <w:r>
        <w:rPr/>
      </w:r>
    </w:p>
    <w:p>
      <w:pPr>
        <w:pStyle w:val="BodyText2"/>
        <w:numPr>
          <w:ilvl w:val="1"/>
          <w:numId w:val="4"/>
        </w:numPr>
        <w:tabs>
          <w:tab w:val="clear" w:pos="1440"/>
          <w:tab w:val="left" w:pos="720" w:leader="none"/>
        </w:tabs>
        <w:bidi w:val="0"/>
        <w:spacing w:lineRule="auto" w:line="360"/>
        <w:jc w:val="start"/>
        <w:rPr>
          <w:rFonts w:ascii="Times New Roman" w:hAnsi="Times New Roman"/>
        </w:rPr>
      </w:pPr>
      <w:r>
        <w:rPr/>
        <w:t>Exh. 102, pgs. 30-31:  Would a functioning secondary market for storage capacity prevent SoCalGas from charging exorbitant storage rates?</w:t>
      </w:r>
    </w:p>
    <w:p>
      <w:pPr>
        <w:pStyle w:val="BodyText2"/>
        <w:numPr>
          <w:ilvl w:val="0"/>
          <w:numId w:val="0"/>
        </w:numPr>
        <w:tabs>
          <w:tab w:val="clear" w:pos="1440"/>
        </w:tabs>
        <w:bidi w:val="0"/>
        <w:spacing w:lineRule="auto" w:line="360"/>
        <w:ind w:firstLine="720" w:start="720"/>
        <w:jc w:val="start"/>
        <w:rPr>
          <w:rFonts w:ascii="Times New Roman" w:hAnsi="Times New Roman"/>
          <w:i/>
          <w:i/>
        </w:rPr>
      </w:pPr>
      <w:r>
        <w:rPr>
          <w:i/>
        </w:rPr>
      </w:r>
    </w:p>
    <w:p>
      <w:pPr>
        <w:pStyle w:val="BodyText2"/>
        <w:numPr>
          <w:ilvl w:val="0"/>
          <w:numId w:val="0"/>
        </w:numPr>
        <w:tabs>
          <w:tab w:val="clear" w:pos="1440"/>
        </w:tabs>
        <w:bidi w:val="0"/>
        <w:spacing w:lineRule="auto" w:line="360"/>
        <w:ind w:firstLine="720" w:start="720"/>
        <w:jc w:val="start"/>
        <w:rPr>
          <w:rFonts w:ascii="Times New Roman" w:hAnsi="Times New Roman"/>
        </w:rPr>
      </w:pPr>
      <w:r>
        <w:rPr>
          <w:i/>
        </w:rPr>
        <w:t xml:space="preserve">Response:  </w:t>
      </w:r>
      <w:r>
        <w:rPr/>
        <w:t>It could, but only if significant storage were purchased in the open season that would be in excess of customers’ immediate needs and hence available for resale in the secondary markets.  It is not at all clear that this would occur, nor that storage would be available in the proportions and amounts that would make secondary market transactions an effective alternative to SoCalGas.</w:t>
      </w:r>
    </w:p>
    <w:p>
      <w:pPr>
        <w:pStyle w:val="BodyText2"/>
        <w:numPr>
          <w:ilvl w:val="0"/>
          <w:numId w:val="0"/>
        </w:numPr>
        <w:tabs>
          <w:tab w:val="clear" w:pos="1440"/>
        </w:tabs>
        <w:bidi w:val="0"/>
        <w:spacing w:lineRule="auto" w:line="360"/>
        <w:ind w:firstLine="720" w:start="720"/>
        <w:jc w:val="start"/>
        <w:rPr>
          <w:rFonts w:ascii="Times New Roman" w:hAnsi="Times New Roman"/>
        </w:rPr>
      </w:pPr>
      <w:r>
        <w:rPr/>
      </w:r>
    </w:p>
    <w:p>
      <w:pPr>
        <w:pStyle w:val="BodyText2"/>
        <w:numPr>
          <w:ilvl w:val="1"/>
          <w:numId w:val="4"/>
        </w:numPr>
        <w:tabs>
          <w:tab w:val="clear" w:pos="1440"/>
          <w:tab w:val="left" w:pos="720" w:leader="none"/>
        </w:tabs>
        <w:bidi w:val="0"/>
        <w:spacing w:lineRule="auto" w:line="360"/>
        <w:jc w:val="start"/>
        <w:rPr>
          <w:rFonts w:ascii="Times New Roman" w:hAnsi="Times New Roman"/>
        </w:rPr>
      </w:pPr>
      <w:r>
        <w:rPr/>
        <w:t>Exh. 102, pg. 36:  Provide workpapers and explanation for this table.</w:t>
      </w:r>
    </w:p>
    <w:p>
      <w:pPr>
        <w:pStyle w:val="BodyText2"/>
        <w:numPr>
          <w:ilvl w:val="0"/>
          <w:numId w:val="0"/>
        </w:numPr>
        <w:tabs>
          <w:tab w:val="clear" w:pos="1440"/>
        </w:tabs>
        <w:bidi w:val="0"/>
        <w:spacing w:lineRule="auto" w:line="360"/>
        <w:ind w:firstLine="720" w:start="720"/>
        <w:jc w:val="start"/>
        <w:rPr>
          <w:rFonts w:ascii="Times New Roman" w:hAnsi="Times New Roman"/>
          <w:i/>
          <w:i/>
        </w:rPr>
      </w:pPr>
      <w:r>
        <w:rPr>
          <w:i/>
        </w:rPr>
      </w:r>
    </w:p>
    <w:p>
      <w:pPr>
        <w:pStyle w:val="BodyText2"/>
        <w:numPr>
          <w:ilvl w:val="0"/>
          <w:numId w:val="0"/>
        </w:numPr>
        <w:tabs>
          <w:tab w:val="clear" w:pos="1440"/>
        </w:tabs>
        <w:bidi w:val="0"/>
        <w:spacing w:lineRule="auto" w:line="360"/>
        <w:ind w:firstLine="720" w:start="720"/>
        <w:jc w:val="start"/>
        <w:rPr>
          <w:rFonts w:ascii="Times New Roman" w:hAnsi="Times New Roman"/>
        </w:rPr>
      </w:pPr>
      <w:r>
        <w:rPr>
          <w:i/>
        </w:rPr>
        <w:t xml:space="preserve">Response:  </w:t>
      </w:r>
      <w:r>
        <w:rPr/>
        <w:t xml:space="preserve">Please see Attachment B for workpapers.  This table compiles the number of OFO occurrences that would have occurred during 1999 had the core and noncore been balanced separately as proposed under the CSA.  It is based upon SoCalGas’ daily operating records, including both information regarding core and noncore receipts and usage during 1999.  </w:t>
      </w:r>
    </w:p>
    <w:p>
      <w:pPr>
        <w:pStyle w:val="BodyText2"/>
        <w:numPr>
          <w:ilvl w:val="0"/>
          <w:numId w:val="0"/>
        </w:numPr>
        <w:tabs>
          <w:tab w:val="clear" w:pos="1440"/>
        </w:tabs>
        <w:bidi w:val="0"/>
        <w:spacing w:lineRule="auto" w:line="360"/>
        <w:ind w:firstLine="720" w:start="720"/>
        <w:jc w:val="start"/>
        <w:rPr>
          <w:rFonts w:ascii="Times New Roman" w:hAnsi="Times New Roman"/>
        </w:rPr>
      </w:pPr>
      <w:r>
        <w:rPr/>
        <w:t xml:space="preserve">The OFO analysis is another way of demonstrating the substantial synergies that exist on the SoCalGas system under the current system of operations.  These synergies would be lost under the CSA, and customers would have to obtain either substantial reservations of intrastate capacity or additional storage facilities in order to avoid this large number of OFO occurrences.  </w:t>
      </w:r>
    </w:p>
    <w:p>
      <w:pPr>
        <w:pStyle w:val="BodyText2"/>
        <w:numPr>
          <w:ilvl w:val="0"/>
          <w:numId w:val="0"/>
        </w:numPr>
        <w:tabs>
          <w:tab w:val="clear" w:pos="1440"/>
        </w:tabs>
        <w:bidi w:val="0"/>
        <w:spacing w:lineRule="auto" w:line="360"/>
        <w:ind w:firstLine="720" w:start="720"/>
        <w:jc w:val="start"/>
        <w:rPr>
          <w:rFonts w:ascii="Times New Roman" w:hAnsi="Times New Roman"/>
        </w:rPr>
      </w:pPr>
      <w:r>
        <w:rPr/>
        <w:t xml:space="preserve">It should also be recognized that 1999 was the third year that customers had operated under the overnomination regime that SoCalGas currently has in place.  As shown in Att. B, there were 11-12 overnomination occurrences in 1997 and 1998, which involved the turning back of large quantities of gas and 19 overnomination events in 1999, which involved turning back smaller quantities of gas.  </w:t>
      </w:r>
    </w:p>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36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uto" w:line="360"/>
      <w:jc w:val="start"/>
      <w:rPr>
        <w:rFonts w:ascii="Times New Roman" w:hAnsi="Times New Roman"/>
      </w:rPr>
    </w:pPr>
    <w:r>
      <w:rPr>
        <w:lang w:val="en-CA"/>
      </w:rPr>
      <w:fldChar w:fldCharType="begin"/>
    </w:r>
    <w:r>
      <w:rPr>
        <w:lang w:val="en-CA"/>
      </w:rPr>
      <w:instrText xml:space="preserve"> TIME \@"MMMM\ d', 'yyyy" </w:instrText>
    </w:r>
    <w:r>
      <w:rPr>
        <w:lang w:val="en-CA"/>
      </w:rPr>
      <w:fldChar w:fldCharType="separate"/>
    </w:r>
    <w:r>
      <w:rPr>
        <w:lang w:val="en-CA"/>
      </w:rPr>
      <w:t>September 28, 2025</w:t>
    </w:r>
    <w:r>
      <w:rPr>
        <w:lang w:val="en-CA"/>
      </w:rPr>
      <w:fldChar w:fldCharType="end"/>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w:t>
    </w:r>
    <w:r>
      <w:rPr>
        <w:rStyle w:val="PageNumber"/>
        <w:lang w:val="en-CA"/>
      </w:rPr>
      <w:fldChar w:fldCharType="end"/>
    </w:r>
    <w:r>
      <w:rPr/>
      <w:tab/>
      <w:t>Turn/SCGC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uto" w:line="360"/>
      <w:jc w:val="start"/>
      <w:rPr>
        <w:rFonts w:ascii="Times New Roman" w:hAnsi="Times New Roman"/>
      </w:rPr>
    </w:pPr>
    <w:r>
      <w:rPr>
        <w:lang w:val="en-CA"/>
      </w:rPr>
      <w:fldChar w:fldCharType="begin"/>
    </w:r>
    <w:r>
      <w:rPr>
        <w:lang w:val="en-CA"/>
      </w:rPr>
      <w:instrText xml:space="preserve"> TIME \@"MMMM\ d', 'yyyy" </w:instrText>
    </w:r>
    <w:r>
      <w:rPr>
        <w:lang w:val="en-CA"/>
      </w:rPr>
      <w:fldChar w:fldCharType="separate"/>
    </w:r>
    <w:r>
      <w:rPr>
        <w:lang w:val="en-CA"/>
      </w:rPr>
      <w:t>September 28, 2025</w:t>
    </w:r>
    <w:r>
      <w:rPr>
        <w:lang w:val="en-CA"/>
      </w:rPr>
      <w:fldChar w:fldCharType="end"/>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w:t>
    </w:r>
    <w:r>
      <w:rPr>
        <w:rStyle w:val="PageNumber"/>
        <w:lang w:val="en-CA"/>
      </w:rPr>
      <w:fldChar w:fldCharType="end"/>
    </w:r>
    <w:r>
      <w:rPr/>
      <w:tab/>
      <w:t>Turn/SCGC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1"/>
      <w:numFmt w:val="bullet"/>
      <w:lvlText w:val=""/>
      <w:lvlJc w:val="start"/>
      <w:pPr>
        <w:tabs>
          <w:tab w:val="num" w:pos="1080"/>
        </w:tabs>
        <w:ind w:start="1008" w:hanging="288"/>
      </w:pPr>
      <w:rPr>
        <w:rFonts w:ascii="Wingdings" w:hAnsi="Wingdings" w:cs="Wingdings" w:hint="default"/>
      </w:rPr>
    </w:lvl>
    <w:lvl w:ilvl="1">
      <w:start w:val="1"/>
      <w:numFmt w:val="bullet"/>
      <w:lvlText w:val=""/>
      <w:lvlJc w:val="start"/>
      <w:pPr>
        <w:tabs>
          <w:tab w:val="num" w:pos="1800"/>
        </w:tabs>
        <w:ind w:start="1728" w:hanging="288"/>
      </w:pPr>
      <w:rPr>
        <w:rFonts w:ascii="Wingdings" w:hAnsi="Wingdings" w:cs="Wingdings" w:hint="default"/>
      </w:rPr>
    </w:lvl>
    <w:lvl w:ilvl="2">
      <w:start w:val="1"/>
      <w:numFmt w:val="decimal"/>
      <w:lvlText w:val="%3."/>
      <w:lvlJc w:val="start"/>
      <w:pPr>
        <w:tabs>
          <w:tab w:val="num" w:pos="2700"/>
        </w:tabs>
        <w:ind w:start="2700" w:hanging="36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3">
    <w:lvl w:ilvl="0">
      <w:start w:val="1"/>
      <w:numFmt w:val="bullet"/>
      <w:lvlText w:val=""/>
      <w:lvlJc w:val="start"/>
      <w:pPr>
        <w:tabs>
          <w:tab w:val="num" w:pos="1080"/>
        </w:tabs>
        <w:ind w:start="1008" w:hanging="288"/>
      </w:pPr>
      <w:rPr>
        <w:rFonts w:ascii="Wingdings" w:hAnsi="Wingdings" w:cs="Wingdings" w:hint="default"/>
      </w:rPr>
    </w:lvl>
    <w:lvl w:ilvl="1">
      <w:start w:val="1"/>
      <w:numFmt w:val="bullet"/>
      <w:lvlText w:val=""/>
      <w:lvlJc w:val="start"/>
      <w:pPr>
        <w:tabs>
          <w:tab w:val="num" w:pos="1800"/>
        </w:tabs>
        <w:ind w:start="1728" w:hanging="288"/>
      </w:pPr>
      <w:rPr>
        <w:rFonts w:ascii="Wingdings" w:hAnsi="Wingdings" w:cs="Wingdings" w:hint="default"/>
      </w:rPr>
    </w:lvl>
    <w:lvl w:ilvl="2">
      <w:start w:val="1"/>
      <w:numFmt w:val="decimal"/>
      <w:lvlText w:val="%3."/>
      <w:lvlJc w:val="start"/>
      <w:pPr>
        <w:tabs>
          <w:tab w:val="num" w:pos="2700"/>
        </w:tabs>
        <w:ind w:start="2700" w:hanging="36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69"/>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uto" w:line="360"/>
    </w:pPr>
    <w:rPr>
      <w:rFonts w:ascii="Times New Roman" w:hAnsi="Times New Roman" w:eastAsia="Times New Roman" w:cs="Times New Roman"/>
      <w:color w:val="auto"/>
      <w:kern w:val="2"/>
      <w:sz w:val="24"/>
      <w:szCs w:val="24"/>
      <w:lang w:val="en-CA"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numPr>
        <w:ilvl w:val="1"/>
        <w:numId w:val="1"/>
      </w:numPr>
      <w:tabs>
        <w:tab w:val="clear" w:pos="720"/>
        <w:tab w:val="left" w:pos="1440" w:leader="none"/>
      </w:tabs>
      <w:spacing w:lineRule="auto" w:line="360"/>
      <w:ind w:hanging="288" w:start="1368"/>
    </w:pPr>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spacing w:lineRule="auto" w:line="360"/>
    </w:pPr>
    <w:rPr/>
  </w:style>
  <w:style w:type="paragraph" w:styleId="BlockText">
    <w:name w:val="Block Text"/>
    <w:basedOn w:val="Normal"/>
    <w:qFormat/>
    <w:pPr>
      <w:widowControl/>
      <w:spacing w:lineRule="auto" w:line="240" w:before="120" w:after="120"/>
      <w:ind w:hanging="0" w:start="1728" w:end="1440"/>
    </w:pPr>
    <w:rPr/>
  </w:style>
  <w:style w:type="paragraph" w:styleId="Footer">
    <w:name w:val="footer"/>
    <w:basedOn w:val="Normal"/>
    <w:pPr>
      <w:widowControl/>
      <w:tabs>
        <w:tab w:val="clear" w:pos="720"/>
        <w:tab w:val="center" w:pos="4320" w:leader="none"/>
        <w:tab w:val="right" w:pos="8640" w:leader="none"/>
      </w:tabs>
      <w:spacing w:lineRule="auto" w:line="36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LibreOffice/25.2.7.0.0$Linux_X86_64 LibreOffice_project/2cc84caafd2707671cae2773f8085721f003b89f</Application>
  <AppVersion>15.0000</AppVersion>
  <Pages>99</Pages>
  <Words>2260</Words>
  <Characters>0</Characters>
  <CharactersWithSpaces>12882</CharactersWithSpaces>
  <Company>Barkovich &amp; Yap,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2000-06-07T20:56:00Z</dcterms:created>
  <dc:creator>Catherine E.  Yap</dc:creator>
  <dc:description/>
  <dc:language>en-CA</dc:language>
  <cp:lastModifiedBy/>
  <cp:lastPrinted>2000-06-08T08:01:00Z</cp:lastPrinted>
  <dcterms:modified xsi:type="dcterms:W3CDTF">2000-06-09T09:32:00Z</dcterms:modified>
  <cp:revision>4</cp:revision>
  <dc:subject/>
  <dc:title>TURN/Aglet/SCGC Response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Marcel Hawiger</vt:lpwstr>
  </property>
</Properties>
</file>