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720" w:start="720" w:end="0"/>
        <w:jc w:val="center"/>
        <w:rPr>
          <w:b/>
          <w:bCs/>
        </w:rPr>
      </w:pPr>
      <w:r>
        <w:rPr>
          <w:b/>
          <w:bCs/>
        </w:rPr>
        <w:t xml:space="preserve">UNITED STATES OF AMERICA </w:t>
      </w:r>
    </w:p>
    <w:p>
      <w:pPr>
        <w:pStyle w:val="Normal"/>
        <w:ind w:hanging="720" w:start="720" w:end="0"/>
        <w:jc w:val="center"/>
        <w:rPr>
          <w:b/>
          <w:bCs/>
        </w:rPr>
      </w:pPr>
      <w:r>
        <w:rPr>
          <w:b/>
          <w:bCs/>
        </w:rPr>
        <w:t xml:space="preserve">BEFORE THE </w:t>
      </w:r>
    </w:p>
    <w:p>
      <w:pPr>
        <w:pStyle w:val="Normal"/>
        <w:ind w:hanging="720" w:start="720" w:end="0"/>
        <w:jc w:val="center"/>
        <w:rPr>
          <w:b/>
          <w:bCs/>
        </w:rPr>
      </w:pPr>
      <w:r>
        <w:rPr>
          <w:b/>
          <w:bCs/>
        </w:rPr>
        <w:t>FEDERAL ENERGY REGULATORY COMMISSION</w:t>
      </w:r>
    </w:p>
    <w:p>
      <w:pPr>
        <w:pStyle w:val="Normal"/>
        <w:ind w:hanging="720" w:start="720" w:end="0"/>
        <w:rPr>
          <w:b/>
          <w:bCs/>
        </w:rPr>
      </w:pPr>
      <w:r>
        <w:rPr>
          <w:b/>
          <w:bCs/>
        </w:rPr>
      </w:r>
    </w:p>
    <w:p>
      <w:pPr>
        <w:pStyle w:val="Normal"/>
        <w:ind w:hanging="720" w:start="720" w:end="0"/>
        <w:rPr>
          <w:b/>
          <w:bCs/>
        </w:rPr>
      </w:pPr>
      <w:r>
        <w:rPr>
          <w:b/>
          <w:bCs/>
        </w:rPr>
      </w:r>
    </w:p>
    <w:p>
      <w:pPr>
        <w:pStyle w:val="Normal"/>
        <w:tabs>
          <w:tab w:val="clear" w:pos="720"/>
          <w:tab w:val="center" w:pos="4680" w:leader="none"/>
          <w:tab w:val="right" w:pos="9360" w:leader="none"/>
        </w:tabs>
        <w:rPr/>
      </w:pPr>
      <w:r>
        <w:rPr/>
        <w:t>San Diego Gas &amp; Electric Company,</w:t>
        <w:tab/>
        <w:t>)</w:t>
      </w:r>
    </w:p>
    <w:p>
      <w:pPr>
        <w:pStyle w:val="Normal"/>
        <w:tabs>
          <w:tab w:val="left" w:pos="720" w:leader="none"/>
          <w:tab w:val="center" w:pos="4680" w:leader="none"/>
          <w:tab w:val="right" w:pos="9360" w:leader="none"/>
        </w:tabs>
        <w:rPr/>
      </w:pPr>
      <w:r>
        <w:rPr/>
        <w:tab/>
        <w:t>Complainant,</w:t>
        <w:tab/>
        <w:t>)</w:t>
      </w:r>
    </w:p>
    <w:p>
      <w:pPr>
        <w:pStyle w:val="Normal"/>
        <w:tabs>
          <w:tab w:val="clear" w:pos="720"/>
          <w:tab w:val="center" w:pos="4680" w:leader="none"/>
          <w:tab w:val="right" w:pos="9360" w:leader="none"/>
        </w:tabs>
        <w:rPr/>
      </w:pPr>
      <w:r>
        <w:rPr/>
        <w:tab/>
        <w:t>)</w:t>
      </w:r>
    </w:p>
    <w:p>
      <w:pPr>
        <w:pStyle w:val="Normal"/>
        <w:tabs>
          <w:tab w:val="clear" w:pos="720"/>
          <w:tab w:val="left" w:pos="1440" w:leader="none"/>
          <w:tab w:val="center" w:pos="4680" w:leader="none"/>
          <w:tab w:val="right" w:pos="9360" w:leader="none"/>
        </w:tabs>
        <w:rPr/>
      </w:pPr>
      <w:r>
        <w:rPr/>
        <w:tab/>
        <w:t>v.</w:t>
        <w:tab/>
        <w:t>)</w:t>
        <w:tab/>
        <w:t>Docket No. EL00-95-045</w:t>
      </w:r>
    </w:p>
    <w:p>
      <w:pPr>
        <w:pStyle w:val="Normal"/>
        <w:tabs>
          <w:tab w:val="clear" w:pos="720"/>
          <w:tab w:val="center" w:pos="4680" w:leader="none"/>
          <w:tab w:val="right" w:pos="9360" w:leader="none"/>
        </w:tabs>
        <w:rPr/>
      </w:pPr>
      <w:r>
        <w:rPr/>
        <w:tab/>
        <w:t>)</w:t>
      </w:r>
    </w:p>
    <w:p>
      <w:pPr>
        <w:pStyle w:val="Normal"/>
        <w:tabs>
          <w:tab w:val="clear" w:pos="720"/>
          <w:tab w:val="center" w:pos="4680" w:leader="none"/>
          <w:tab w:val="right" w:pos="9360" w:leader="none"/>
        </w:tabs>
        <w:rPr/>
      </w:pPr>
      <w:r>
        <w:rPr/>
        <w:t>Sellers of Energy and Ancillary Services</w:t>
        <w:tab/>
        <w:t>)</w:t>
      </w:r>
    </w:p>
    <w:p>
      <w:pPr>
        <w:pStyle w:val="Normal"/>
        <w:tabs>
          <w:tab w:val="clear" w:pos="720"/>
          <w:tab w:val="center" w:pos="4680" w:leader="none"/>
          <w:tab w:val="right" w:pos="9360" w:leader="none"/>
        </w:tabs>
        <w:rPr/>
      </w:pPr>
      <w:r>
        <w:rPr/>
        <w:t>Into Markets Operated by the California</w:t>
        <w:tab/>
        <w:t>)</w:t>
      </w:r>
    </w:p>
    <w:p>
      <w:pPr>
        <w:pStyle w:val="Normal"/>
        <w:tabs>
          <w:tab w:val="clear" w:pos="720"/>
          <w:tab w:val="center" w:pos="4680" w:leader="none"/>
          <w:tab w:val="right" w:pos="9360" w:leader="none"/>
        </w:tabs>
        <w:rPr/>
      </w:pPr>
      <w:r>
        <w:rPr/>
        <w:t>Independent System Operator and the</w:t>
        <w:tab/>
        <w:t>)</w:t>
      </w:r>
    </w:p>
    <w:p>
      <w:pPr>
        <w:pStyle w:val="Normal"/>
        <w:tabs>
          <w:tab w:val="clear" w:pos="720"/>
          <w:tab w:val="center" w:pos="4680" w:leader="none"/>
          <w:tab w:val="right" w:pos="9360" w:leader="none"/>
        </w:tabs>
        <w:rPr/>
      </w:pPr>
      <w:r>
        <w:rPr/>
        <w:t>California Power Exchange,</w:t>
        <w:tab/>
        <w:t>)</w:t>
      </w:r>
    </w:p>
    <w:p>
      <w:pPr>
        <w:pStyle w:val="Normal"/>
        <w:tabs>
          <w:tab w:val="left" w:pos="720" w:leader="none"/>
          <w:tab w:val="center" w:pos="4680" w:leader="none"/>
          <w:tab w:val="right" w:pos="9360" w:leader="none"/>
        </w:tabs>
        <w:rPr/>
      </w:pPr>
      <w:r>
        <w:rPr/>
        <w:tab/>
        <w:t>Respondents.</w:t>
        <w:tab/>
        <w:t>)</w:t>
      </w:r>
    </w:p>
    <w:p>
      <w:pPr>
        <w:pStyle w:val="Normal"/>
        <w:tabs>
          <w:tab w:val="clear" w:pos="720"/>
          <w:tab w:val="center" w:pos="4680" w:leader="none"/>
          <w:tab w:val="right" w:pos="9360" w:leader="none"/>
        </w:tabs>
        <w:rPr/>
      </w:pPr>
      <w:r>
        <w:rPr/>
        <w:tab/>
        <w:t>)</w:t>
      </w:r>
    </w:p>
    <w:p>
      <w:pPr>
        <w:pStyle w:val="Normal"/>
        <w:tabs>
          <w:tab w:val="clear" w:pos="720"/>
          <w:tab w:val="center" w:pos="4680" w:leader="none"/>
          <w:tab w:val="right" w:pos="9360" w:leader="none"/>
        </w:tabs>
        <w:rPr/>
      </w:pPr>
      <w:r>
        <w:rPr/>
        <w:tab/>
        <w:t>)</w:t>
      </w:r>
    </w:p>
    <w:p>
      <w:pPr>
        <w:pStyle w:val="Normal"/>
        <w:tabs>
          <w:tab w:val="clear" w:pos="720"/>
          <w:tab w:val="center" w:pos="4680" w:leader="none"/>
          <w:tab w:val="right" w:pos="9360" w:leader="none"/>
        </w:tabs>
        <w:rPr/>
      </w:pPr>
      <w:r>
        <w:rPr/>
        <w:t>Investigation of Practices of the California</w:t>
        <w:tab/>
        <w:t>)</w:t>
        <w:tab/>
        <w:t>Docket No. EL00-98-042</w:t>
      </w:r>
    </w:p>
    <w:p>
      <w:pPr>
        <w:pStyle w:val="Normal"/>
        <w:tabs>
          <w:tab w:val="clear" w:pos="720"/>
          <w:tab w:val="center" w:pos="4680" w:leader="none"/>
          <w:tab w:val="right" w:pos="9360" w:leader="none"/>
        </w:tabs>
        <w:rPr/>
      </w:pPr>
      <w:r>
        <w:rPr/>
        <w:t xml:space="preserve">Independent System Operator and the </w:t>
        <w:tab/>
        <w:t>)</w:t>
      </w:r>
    </w:p>
    <w:p>
      <w:pPr>
        <w:pStyle w:val="Normal"/>
        <w:tabs>
          <w:tab w:val="clear" w:pos="720"/>
          <w:tab w:val="center" w:pos="4680" w:leader="none"/>
          <w:tab w:val="right" w:pos="9360" w:leader="none"/>
        </w:tabs>
        <w:rPr/>
      </w:pPr>
      <w:r>
        <w:rPr/>
        <w:t>California Power Exchange</w:t>
        <w:tab/>
        <w:t>)</w:t>
      </w:r>
    </w:p>
    <w:p>
      <w:pPr>
        <w:pStyle w:val="Normal"/>
        <w:tabs>
          <w:tab w:val="clear" w:pos="720"/>
          <w:tab w:val="left" w:pos="72" w:leader="none"/>
          <w:tab w:val="left" w:pos="4680" w:leader="none"/>
        </w:tabs>
        <w:rPr/>
      </w:pPr>
      <w:r>
        <w:rPr/>
      </w:r>
    </w:p>
    <w:p>
      <w:pPr>
        <w:pStyle w:val="Normal"/>
        <w:tabs>
          <w:tab w:val="clear" w:pos="720"/>
          <w:tab w:val="left" w:pos="72" w:leader="none"/>
          <w:tab w:val="left" w:pos="4680" w:leader="none"/>
        </w:tabs>
        <w:rPr/>
      </w:pPr>
      <w:r>
        <w:rPr/>
      </w:r>
    </w:p>
    <w:p>
      <w:pPr>
        <w:pStyle w:val="Normal"/>
        <w:tabs>
          <w:tab w:val="left" w:pos="720" w:leader="none"/>
          <w:tab w:val="left" w:pos="2880" w:leader="none"/>
        </w:tabs>
        <w:suppressAutoHyphens w:val="true"/>
        <w:jc w:val="center"/>
        <w:rPr>
          <w:b/>
          <w:bCs/>
          <w:caps/>
        </w:rPr>
      </w:pPr>
      <w:r>
        <w:rPr>
          <w:b/>
          <w:bCs/>
          <w:caps/>
        </w:rPr>
        <w:t xml:space="preserve">RESPONSE OF MIRANT TO ORDER LIFTING PROTECTIVE </w:t>
      </w:r>
    </w:p>
    <w:p>
      <w:pPr>
        <w:pStyle w:val="Normal"/>
        <w:tabs>
          <w:tab w:val="left" w:pos="720" w:leader="none"/>
          <w:tab w:val="left" w:pos="2880" w:leader="none"/>
        </w:tabs>
        <w:suppressAutoHyphens w:val="true"/>
        <w:jc w:val="center"/>
        <w:rPr>
          <w:b/>
          <w:bCs/>
          <w:caps/>
        </w:rPr>
      </w:pPr>
      <w:r>
        <w:rPr>
          <w:b/>
          <w:bCs/>
          <w:caps/>
        </w:rPr>
        <w:t xml:space="preserve">ORDER FROM HEAT RATE AND MMCP DATA AND CONCERNING </w:t>
      </w:r>
    </w:p>
    <w:p>
      <w:pPr>
        <w:pStyle w:val="Normal"/>
        <w:tabs>
          <w:tab w:val="left" w:pos="720" w:leader="none"/>
          <w:tab w:val="left" w:pos="2880" w:leader="none"/>
        </w:tabs>
        <w:suppressAutoHyphens w:val="true"/>
        <w:jc w:val="center"/>
        <w:rPr>
          <w:b/>
          <w:bCs/>
          <w:caps/>
        </w:rPr>
      </w:pPr>
      <w:r>
        <w:rPr>
          <w:b/>
          <w:bCs/>
          <w:caps/>
        </w:rPr>
        <w:t>CONTINUED APPLICATION OF THE PROTECTIVE ORDER</w:t>
      </w:r>
    </w:p>
    <w:p>
      <w:pPr>
        <w:pStyle w:val="Normal"/>
        <w:tabs>
          <w:tab w:val="left" w:pos="720" w:leader="none"/>
          <w:tab w:val="left" w:pos="2880" w:leader="none"/>
        </w:tabs>
        <w:suppressAutoHyphens w:val="true"/>
        <w:jc w:val="center"/>
        <w:rPr>
          <w:b/>
          <w:bCs/>
          <w:caps/>
        </w:rPr>
      </w:pPr>
      <w:r>
        <w:rPr>
          <w:b/>
          <w:bCs/>
          <w:caps/>
        </w:rPr>
      </w:r>
    </w:p>
    <w:p>
      <w:pPr>
        <w:pStyle w:val="Normal"/>
        <w:tabs>
          <w:tab w:val="left" w:pos="720" w:leader="none"/>
          <w:tab w:val="left" w:pos="2880" w:leader="none"/>
        </w:tabs>
        <w:suppressAutoHyphens w:val="true"/>
        <w:rPr>
          <w:b/>
          <w:bCs/>
          <w:caps/>
        </w:rPr>
      </w:pPr>
      <w:r>
        <w:rPr>
          <w:b/>
          <w:bCs/>
          <w:caps/>
        </w:rPr>
      </w:r>
    </w:p>
    <w:p>
      <w:pPr>
        <w:pStyle w:val="Normal"/>
        <w:tabs>
          <w:tab w:val="left" w:pos="720" w:leader="none"/>
          <w:tab w:val="left" w:pos="2880" w:leader="none"/>
        </w:tabs>
        <w:suppressAutoHyphens w:val="true"/>
        <w:rPr/>
      </w:pPr>
      <w:r>
        <w:rPr/>
        <w:t>To:</w:t>
        <w:tab/>
        <w:t>Hon. Bruce L. Birchman</w:t>
      </w:r>
    </w:p>
    <w:p>
      <w:pPr>
        <w:pStyle w:val="Normal"/>
        <w:tabs>
          <w:tab w:val="left" w:pos="720" w:leader="none"/>
          <w:tab w:val="left" w:pos="2880" w:leader="none"/>
        </w:tabs>
        <w:suppressAutoHyphens w:val="true"/>
        <w:rPr/>
      </w:pPr>
      <w:r>
        <w:rPr/>
        <w:tab/>
        <w:t>Presiding Administrative Law Judge</w:t>
      </w:r>
    </w:p>
    <w:p>
      <w:pPr>
        <w:pStyle w:val="Normal"/>
        <w:tabs>
          <w:tab w:val="left" w:pos="720" w:leader="none"/>
          <w:tab w:val="left" w:pos="2880" w:leader="none"/>
        </w:tabs>
        <w:suppressAutoHyphens w:val="true"/>
        <w:rPr/>
      </w:pPr>
      <w:r>
        <w:rPr/>
      </w:r>
    </w:p>
    <w:p>
      <w:pPr>
        <w:pStyle w:val="Normal"/>
        <w:tabs>
          <w:tab w:val="left" w:pos="720" w:leader="none"/>
          <w:tab w:val="left" w:pos="2880" w:leader="none"/>
        </w:tabs>
        <w:suppressAutoHyphens w:val="true"/>
        <w:rPr/>
      </w:pPr>
      <w:r>
        <w:rPr/>
      </w:r>
    </w:p>
    <w:p>
      <w:pPr>
        <w:pStyle w:val="Normal"/>
        <w:spacing w:lineRule="auto" w:line="480"/>
        <w:ind w:firstLine="720" w:end="0"/>
        <w:rPr/>
      </w:pPr>
      <w:r>
        <w:rPr/>
        <w:t xml:space="preserve">On November 15, 2001, the Presiding Judge issued an “Order Lifting Protective Order from Heat Rate and MMCP Data and Concerning Continued Application of the Protective Order” (“November 15 Order”), which, </w:t>
      </w:r>
      <w:r>
        <w:rPr>
          <w:i/>
          <w:iCs/>
        </w:rPr>
        <w:t>inter alia</w:t>
      </w:r>
      <w:r>
        <w:rPr/>
        <w:t xml:space="preserve">, directed parties to file a pleading by November 21, 2001, specifying: (a) the portions of the party’s pre-filed testimony and supporting exhibits pertaining to heat rate and MMCP data that are no longer under seal as a result of the November 15 Order, and (b) the portions of the party’s pre-filed testimony and supporting exhibits which continue to be under seal and subject to the Protective Order.  November 15 Order, </w:t>
      </w:r>
      <w:r>
        <w:rPr>
          <w:i/>
          <w:iCs/>
        </w:rPr>
        <w:t>mimeo</w:t>
      </w:r>
      <w:r>
        <w:rPr/>
        <w:t>, at 2.  By this response, Mirant Americas Energy Marketing, LP, Mirant California, LLC, Mirant Delta, LLC, and Mirant Potrero, LLC (collectively, “Mirant”) provide the information requested by the November 15 Order.</w:t>
      </w:r>
    </w:p>
    <w:p>
      <w:pPr>
        <w:pStyle w:val="Normal"/>
        <w:spacing w:lineRule="auto" w:line="480"/>
        <w:ind w:firstLine="720" w:end="0"/>
        <w:rPr/>
      </w:pPr>
      <w:r>
        <w:rPr/>
        <w:t>First, with regard to the heat rate and MMCP data, Mirant is a joint sponsor of the Prepared Direct and Answering Testimony of Jeffrey Tranen, filed together with supporting exhibits as Exhibits GEN-1 through GEN-17, on behalf of a group of parties identified as the “California Generators.”   The California Generators will respond collectively in a separate pleading to the Presiding Judge’s request that they identify the portions of this testimony and supporting exhibits regarding heat rate and MMCP data that are no longer subject to the Protective Order.</w:t>
      </w:r>
    </w:p>
    <w:p>
      <w:pPr>
        <w:pStyle w:val="Normal"/>
        <w:spacing w:lineRule="auto" w:line="480"/>
        <w:ind w:firstLine="720" w:end="0"/>
        <w:rPr/>
      </w:pPr>
      <w:r>
        <w:rPr/>
        <w:t>Second, separate from the testimony sponsored by the California Generators, Mirant has submitted the Prepared Direct Testimony of Anne M. Cleary, filed together with supporting exhibits as Exhibits MIR-1 through MIR-22.  Ms. Cleary’s testimony concerns emissions and start-up fuel costs incurred by Mirant during the Refund Period.  Mirant has requested confidential treatment for certain information contained in two of the supporting exhibits, Exhibit Nos. MIR-3 and MIR-4, and contends that this information should continue to be treated confidentially due to its commercial sensitivity.</w:t>
      </w:r>
      <w:r>
        <w:rPr>
          <w:rStyle w:val="FootnoteCharacters"/>
          <w:rStyle w:val="FootnoteReference"/>
        </w:rPr>
        <w:footnoteReference w:id="2"/>
      </w:r>
      <w:r>
        <w:rPr/>
        <w:t xml:space="preserve">  The balance of Ms. Cleary’s testimony and supporting exhibits are not subject to the Protective Order.</w:t>
      </w:r>
    </w:p>
    <w:p>
      <w:pPr>
        <w:pStyle w:val="Normal"/>
        <w:spacing w:lineRule="auto" w:line="480"/>
        <w:ind w:firstLine="720" w:end="0"/>
        <w:rPr/>
      </w:pPr>
      <w:r>
        <w:rPr/>
      </w:r>
    </w:p>
    <w:p>
      <w:pPr>
        <w:pStyle w:val="Normal"/>
        <w:spacing w:lineRule="auto" w:line="480"/>
        <w:ind w:firstLine="720" w:start="3600" w:end="0"/>
        <w:rPr/>
      </w:pPr>
      <w:r>
        <w:rPr/>
        <w:t xml:space="preserve">Respectfully submitted, </w:t>
      </w:r>
    </w:p>
    <w:p>
      <w:pPr>
        <w:pStyle w:val="Normal"/>
        <w:spacing w:lineRule="auto" w:line="480"/>
        <w:ind w:firstLine="720" w:start="3600" w:end="0"/>
        <w:rPr/>
      </w:pPr>
      <w:r>
        <w:rPr/>
      </w:r>
    </w:p>
    <w:p>
      <w:pPr>
        <w:pStyle w:val="Normal"/>
        <w:ind w:start="4320" w:end="0"/>
        <w:rPr/>
      </w:pPr>
      <w:r>
        <w:rPr/>
      </w:r>
    </w:p>
    <w:p>
      <w:pPr>
        <w:pStyle w:val="Normal"/>
        <w:ind w:start="4140" w:end="0"/>
        <w:rPr/>
      </w:pPr>
      <w:r>
        <w:rPr/>
        <w:t>_____________________</w:t>
      </w:r>
    </w:p>
    <w:p>
      <w:pPr>
        <w:pStyle w:val="SignatureBlock"/>
        <w:widowControl/>
        <w:ind w:hanging="0" w:start="4140" w:end="0"/>
        <w:jc w:val="both"/>
        <w:rPr>
          <w:rFonts w:ascii="Times New Roman" w:hAnsi="Times New Roman" w:eastAsia="Times New Roman" w:cs="Times New Roman"/>
        </w:rPr>
      </w:pPr>
      <w:r>
        <w:rPr>
          <w:rFonts w:eastAsia="Times New Roman" w:cs="Times New Roman" w:ascii="Times New Roman" w:hAnsi="Times New Roman"/>
        </w:rPr>
        <w:t>James C. Beh</w:t>
      </w:r>
    </w:p>
    <w:p>
      <w:pPr>
        <w:pStyle w:val="Normal"/>
        <w:ind w:start="4140" w:end="0"/>
        <w:rPr/>
      </w:pPr>
      <w:r>
        <w:rPr/>
        <w:t>Jeffrey M. Jakubiak</w:t>
      </w:r>
    </w:p>
    <w:p>
      <w:pPr>
        <w:pStyle w:val="Normal"/>
        <w:ind w:start="4140" w:end="0"/>
        <w:rPr>
          <w:smallCaps/>
        </w:rPr>
      </w:pPr>
      <w:r>
        <w:rPr>
          <w:smallCaps/>
        </w:rPr>
        <w:t>Troutman Sanders LLP</w:t>
      </w:r>
    </w:p>
    <w:p>
      <w:pPr>
        <w:pStyle w:val="Normal"/>
        <w:ind w:start="4140" w:end="0"/>
        <w:rPr/>
      </w:pPr>
      <w:r>
        <w:rPr/>
        <w:t>401 9</w:t>
      </w:r>
      <w:r>
        <w:rPr>
          <w:vertAlign w:val="superscript"/>
        </w:rPr>
        <w:t>th</w:t>
      </w:r>
      <w:r>
        <w:rPr/>
        <w:t xml:space="preserve"> Street, N.W., Suite 1000</w:t>
      </w:r>
    </w:p>
    <w:p>
      <w:pPr>
        <w:pStyle w:val="Normal"/>
        <w:ind w:start="4140" w:end="0"/>
        <w:rPr/>
      </w:pPr>
      <w:r>
        <w:rPr/>
        <w:t>Washington, DC 20004</w:t>
      </w:r>
    </w:p>
    <w:p>
      <w:pPr>
        <w:pStyle w:val="Normal"/>
        <w:ind w:start="4140" w:end="0"/>
        <w:rPr/>
      </w:pPr>
      <w:r>
        <w:rPr/>
        <w:t>(202) 274-2950</w:t>
      </w:r>
    </w:p>
    <w:p>
      <w:pPr>
        <w:pStyle w:val="Normal"/>
        <w:ind w:start="4140" w:end="0"/>
        <w:rPr/>
      </w:pPr>
      <w:r>
        <w:rPr/>
      </w:r>
    </w:p>
    <w:p>
      <w:pPr>
        <w:pStyle w:val="Normal"/>
        <w:ind w:start="4140" w:end="0"/>
        <w:rPr/>
      </w:pPr>
      <w:r>
        <w:rPr/>
        <w:t>Debra Raggio Bolton</w:t>
      </w:r>
    </w:p>
    <w:p>
      <w:pPr>
        <w:pStyle w:val="Normal"/>
        <w:ind w:start="4140" w:end="0"/>
        <w:rPr/>
      </w:pPr>
      <w:r>
        <w:rPr/>
        <w:t>Mirant Americas, Inc.</w:t>
      </w:r>
    </w:p>
    <w:p>
      <w:pPr>
        <w:pStyle w:val="Normal"/>
        <w:ind w:start="4140" w:end="0"/>
        <w:rPr/>
      </w:pPr>
      <w:r>
        <w:rPr/>
        <w:t>901 F Street, N.W., Suite 800</w:t>
      </w:r>
    </w:p>
    <w:p>
      <w:pPr>
        <w:pStyle w:val="Normal"/>
        <w:ind w:start="4140" w:end="0"/>
        <w:rPr/>
      </w:pPr>
      <w:r>
        <w:rPr/>
        <w:t>Washington, DC  20004</w:t>
      </w:r>
    </w:p>
    <w:p>
      <w:pPr>
        <w:pStyle w:val="Normal"/>
        <w:ind w:start="4140" w:end="0"/>
        <w:rPr/>
      </w:pPr>
      <w:r>
        <w:rPr/>
        <w:t>(202) 585-3809</w:t>
      </w:r>
    </w:p>
    <w:p>
      <w:pPr>
        <w:pStyle w:val="Normal"/>
        <w:ind w:start="4140" w:end="0"/>
        <w:rPr/>
      </w:pPr>
      <w:r>
        <w:rPr/>
      </w:r>
    </w:p>
    <w:p>
      <w:pPr>
        <w:pStyle w:val="Normal"/>
        <w:ind w:start="4140" w:end="0"/>
        <w:rPr/>
      </w:pPr>
      <w:r>
        <w:rPr/>
        <w:t>Attorneys for Mirant Americas Energy Marketing, LP, Mirant California, LLC, Mirant Delta, LLC, and Mirant Potrero, LLC</w:t>
      </w:r>
    </w:p>
    <w:p>
      <w:pPr>
        <w:pStyle w:val="Normal"/>
        <w:ind w:hanging="720" w:start="4320" w:end="0"/>
        <w:rPr/>
      </w:pPr>
      <w:r>
        <w:rPr/>
      </w:r>
    </w:p>
    <w:p>
      <w:pPr>
        <w:pStyle w:val="Normal"/>
        <w:ind w:start="4320" w:end="0"/>
        <w:rPr/>
      </w:pPr>
      <w:r>
        <w:rPr/>
      </w:r>
    </w:p>
    <w:p>
      <w:pPr>
        <w:pStyle w:val="Normal"/>
        <w:ind w:start="4320" w:end="0"/>
        <w:rPr/>
      </w:pPr>
      <w:r>
        <w:rPr/>
      </w:r>
    </w:p>
    <w:p>
      <w:pPr>
        <w:pStyle w:val="Normal"/>
        <w:suppressAutoHyphens w:val="true"/>
        <w:ind w:end="720"/>
        <w:rPr/>
      </w:pPr>
      <w:r>
        <w:rPr/>
        <w:t>Dated: November 21, 2001</w:t>
      </w:r>
    </w:p>
    <w:p>
      <w:pPr>
        <w:pStyle w:val="Normal"/>
        <w:suppressAutoHyphens w:val="true"/>
        <w:ind w:firstLine="720" w:end="720"/>
        <w:rPr/>
      </w:pPr>
      <w:r>
        <w:rPr/>
        <w:t xml:space="preserve">Washington, D.C. </w:t>
      </w:r>
      <w:r>
        <w:br w:type="page"/>
      </w:r>
    </w:p>
    <w:p>
      <w:pPr>
        <w:pStyle w:val="Normal"/>
        <w:suppressAutoHyphens w:val="true"/>
        <w:ind w:end="720"/>
        <w:jc w:val="center"/>
        <w:rPr>
          <w:b/>
          <w:bCs/>
        </w:rPr>
      </w:pPr>
      <w:r>
        <w:rPr>
          <w:b/>
          <w:bCs/>
        </w:rPr>
        <w:t xml:space="preserve">CERTIFICATE OF SERVICE </w:t>
      </w:r>
    </w:p>
    <w:p>
      <w:pPr>
        <w:pStyle w:val="Normal"/>
        <w:suppressAutoHyphens w:val="true"/>
        <w:ind w:end="720"/>
        <w:jc w:val="center"/>
        <w:rPr>
          <w:b/>
          <w:bCs/>
        </w:rPr>
      </w:pPr>
      <w:r>
        <w:rPr>
          <w:b/>
          <w:bCs/>
        </w:rPr>
      </w:r>
    </w:p>
    <w:p>
      <w:pPr>
        <w:pStyle w:val="Normal"/>
        <w:suppressAutoHyphens w:val="true"/>
        <w:spacing w:lineRule="auto" w:line="480"/>
        <w:ind w:end="720"/>
        <w:rPr/>
      </w:pPr>
      <w:r>
        <w:rPr/>
        <w:tab/>
        <w:t>I hereby certify that I have this day provided for service of the forgoing document upon each person designated on the official service list compiled by the Secretary in this proceeding.</w:t>
      </w:r>
    </w:p>
    <w:p>
      <w:pPr>
        <w:pStyle w:val="Normal"/>
        <w:suppressAutoHyphens w:val="true"/>
        <w:spacing w:lineRule="auto" w:line="480"/>
        <w:ind w:end="720"/>
        <w:rPr/>
      </w:pPr>
      <w:r>
        <w:rPr/>
        <w:tab/>
        <w:t>Dated at Washington, D.C. this 21st day of November, 2001.</w:t>
      </w:r>
    </w:p>
    <w:p>
      <w:pPr>
        <w:pStyle w:val="Normal"/>
        <w:suppressAutoHyphens w:val="true"/>
        <w:spacing w:lineRule="auto" w:line="480"/>
        <w:ind w:end="720"/>
        <w:rPr/>
      </w:pPr>
      <w:r>
        <w:rPr/>
      </w:r>
    </w:p>
    <w:p>
      <w:pPr>
        <w:pStyle w:val="Normal"/>
        <w:suppressAutoHyphens w:val="true"/>
        <w:ind w:end="720"/>
        <w:rPr/>
      </w:pPr>
      <w:r>
        <w:rPr/>
        <w:tab/>
        <w:tab/>
        <w:tab/>
        <w:tab/>
        <w:tab/>
        <w:tab/>
        <w:tab/>
        <w:t xml:space="preserve">_________________________  </w:t>
      </w:r>
    </w:p>
    <w:p>
      <w:pPr>
        <w:pStyle w:val="Normal"/>
        <w:suppressAutoHyphens w:val="true"/>
        <w:ind w:end="720"/>
        <w:rPr/>
      </w:pPr>
      <w:r>
        <w:rPr/>
        <w:tab/>
        <w:tab/>
        <w:tab/>
        <w:tab/>
        <w:tab/>
        <w:tab/>
        <w:tab/>
        <w:t xml:space="preserve">Jeffrey M. Jakubiak </w:t>
      </w:r>
    </w:p>
    <w:p>
      <w:pPr>
        <w:pStyle w:val="Normal"/>
        <w:suppressLineNumbers/>
        <w:rPr/>
      </w:pPr>
      <w:r>
        <w:rPr/>
      </w:r>
    </w:p>
    <w:p>
      <w:pPr>
        <w:pStyle w:val="Normal"/>
        <w:rPr/>
      </w:pPr>
      <w:r>
        <w:rPr/>
      </w:r>
    </w:p>
    <w:p>
      <w:pPr>
        <w:pStyle w:val="Normal"/>
        <w:rPr/>
      </w:pPr>
      <w:r>
        <w:rPr/>
      </w:r>
    </w:p>
    <w:p>
      <w:pPr>
        <w:pStyle w:val="Normal"/>
        <w:rPr/>
      </w:pPr>
      <w:r>
        <w:rPr/>
      </w:r>
    </w:p>
    <w:p>
      <w:pPr>
        <w:pStyle w:val="Normal"/>
        <w:rPr/>
      </w:pPr>
      <w:r>
        <w:rPr/>
      </w:r>
    </w:p>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CG Time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szCs w:val="14"/>
      </w:rPr>
      <w:fldChar w:fldCharType="begin"/>
    </w:r>
    <w:r>
      <w:rPr>
        <w:sz w:val="14"/>
        <w:szCs w:val="14"/>
      </w:rPr>
      <w:instrText xml:space="preserve"> FILENAME </w:instrText>
    </w:r>
    <w:r>
      <w:rPr>
        <w:sz w:val="14"/>
        <w:szCs w:val="14"/>
      </w:rPr>
      <w:fldChar w:fldCharType="separate"/>
    </w:r>
    <w:r>
      <w:rPr>
        <w:sz w:val="14"/>
        <w:szCs w:val="14"/>
      </w:rPr>
      <w:t>Response_to_11_15_Order.DOC</w:t>
    </w:r>
    <w:r>
      <w:rPr>
        <w:sz w:val="14"/>
        <w:szCs w:val="14"/>
      </w:rPr>
      <w:fldChar w:fldCharType="end"/>
    </w:r>
    <w:r>
      <w:rPr/>
      <w:t xml:space="preserve"> </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tab/>
      </w:r>
      <w:r>
        <w:rPr>
          <w:sz w:val="20"/>
          <w:szCs w:val="20"/>
        </w:rPr>
        <w:t xml:space="preserve">While the Protective Order continues to apply to certain information contained in Exhibit Nos. MIR-3 and MIR-4, the information that has been redacted from these documents is very limited and is not relevant to the issues to be addressed in this proceeding.  Accordingly, Mirant proposes that the parties stipulate that the redacted version of these supporting exhibits may be used for purposes of this proceeding, and will work with other interested parties to reach agreement on this approach.  As may be understood from the public versions of Exhibit Nos. MIR-3 and MIR-4, the redacted information pertains exclusively to the fixed payments made by Mirant to Mountainview Power Company, LLC under the relevant tolling agreement, and does not pertain to Mirant’s claims for recovery of emissions costs or start-up fuel costs. </w:t>
      </w:r>
    </w:p>
    <w:p>
      <w:pPr>
        <w:pStyle w:val="FootnoteText"/>
        <w:rPr>
          <w:sz w:val="20"/>
          <w:szCs w:val="20"/>
        </w:rPr>
      </w:pPr>
      <w:r>
        <w:rPr>
          <w:sz w:val="20"/>
          <w:szCs w:val="20"/>
        </w:rPr>
      </w:r>
    </w:p>
  </w:footnote>
</w:footnotes>
</file>

<file path=word/settings.xml><?xml version="1.0" encoding="utf-8"?>
<w:settings xmlns:w="http://schemas.openxmlformats.org/wordprocessingml/2006/main">
  <w:zoom w:percent="9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ignatureBlock">
    <w:name w:val="Signature Block"/>
    <w:basedOn w:val="Normal"/>
    <w:next w:val="Normal"/>
    <w:qFormat/>
    <w:pPr>
      <w:widowControl w:val="false"/>
      <w:ind w:firstLine="720" w:start="4320" w:end="0"/>
    </w:pPr>
    <w:rPr>
      <w:rFonts w:ascii="CG Times" w:hAnsi="CG Times" w:eastAsia="CG Times" w:cs="CG Times"/>
    </w:rPr>
  </w:style>
  <w:style w:type="paragraph" w:styleId="FootnoteText">
    <w:name w:val="footnote text"/>
    <w:basedOn w:val="Normal"/>
    <w:pPr/>
    <w:rPr>
      <w:sz w:val="20"/>
      <w:szCs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2001-11-19T14:07:00Z</dcterms:created>
  <dc:creator>BEHJC</dc:creator>
  <dc:description/>
  <dc:language>en-CA</dc:language>
  <cp:lastModifiedBy>BEHJC</cp:lastModifiedBy>
  <cp:lastPrinted>2001-11-21T12:57:00Z</cp:lastPrinted>
  <dcterms:modified xsi:type="dcterms:W3CDTF">2001-11-21T17:38:00Z</dcterms:modified>
  <cp:revision>13</cp:revision>
  <dc:subject/>
  <dc:title>Response to 11-15 Order</dc:title>
</cp:coreProperties>
</file>