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media/image1.wmf" ContentType="image/x-wmf"/>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_rels/header6.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er"/>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4" w:space="0" w:color="000000"/>
            </w:tcBorders>
          </w:tcPr>
          <w:p>
            <w:pPr>
              <w:pStyle w:val="zCaption"/>
              <w:rPr/>
            </w:pPr>
            <w:r>
              <w:rPr/>
              <w:t>Order Instituting Rulemaking on the Commission’s Proposed Policies Governing Restructuring California’s Electric Services Industry and Reforming Regulation</w:t>
            </w:r>
          </w:p>
          <w:p>
            <w:pPr>
              <w:pStyle w:val="zCaption"/>
              <w:pBdr>
                <w:bottom w:val="single" w:sz="4" w:space="1" w:color="000000"/>
              </w:pBdr>
              <w:rPr/>
            </w:pPr>
            <w:r>
              <w:rPr/>
            </w:r>
          </w:p>
          <w:p>
            <w:pPr>
              <w:pStyle w:val="zCaption"/>
              <w:rPr/>
            </w:pPr>
            <w:r>
              <w:rPr/>
            </w:r>
          </w:p>
          <w:p>
            <w:pPr>
              <w:pStyle w:val="zCaption"/>
              <w:rPr/>
            </w:pPr>
            <w:r>
              <w:rPr/>
              <w:t>Order Instituting Investigation on the Commission’s Proposed Policies Governing Restructuring California’s Electric Services Industry and Reforming Regulation</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R.94-04-031</w:t>
              <w:br/>
              <w:br/>
              <w:br/>
              <w:br/>
              <w:br/>
              <w:br/>
              <w:t>I.94-04-032</w:t>
            </w:r>
          </w:p>
        </w:tc>
      </w:tr>
    </w:tbl>
    <w:p>
      <w:pPr>
        <w:pStyle w:val="zTitle"/>
        <w:spacing w:before="720" w:after="480"/>
        <w:rPr/>
      </w:pPr>
      <w:bookmarkStart w:id="0" w:name="zBriefTitle"/>
      <w:bookmarkEnd w:id="0"/>
      <w:r>
        <w:rPr/>
        <w:t>RESPONSE by SOUTHERN CALIFORNIA EDISON COMPANY (U 338-E) TO PETITION BY PG&amp;E FOR MODIFICATION OF D.97-10-087</w:t>
      </w:r>
    </w:p>
    <w:p>
      <w:pPr>
        <w:pStyle w:val="zAttorneyNames"/>
        <w:rPr/>
      </w:pPr>
      <w:bookmarkStart w:id="1" w:name="zAttorneyName"/>
      <w:bookmarkEnd w:id="1"/>
      <w:r>
        <w:rPr/>
        <w:t>MEGAN SCOTT-KAKURES</w:t>
      </w:r>
    </w:p>
    <w:p>
      <w:pPr>
        <w:pStyle w:val="zAttorneyNames"/>
        <w:rPr/>
      </w:pPr>
      <w:r>
        <w:rPr/>
        <w:t>JENNIFER M. TSAO</w:t>
      </w:r>
    </w:p>
    <w:p>
      <w:pPr>
        <w:pStyle w:val="zAttorneyNames"/>
        <w:rPr/>
      </w:pPr>
      <w:r>
        <w:rPr/>
      </w:r>
    </w:p>
    <w:p>
      <w:pPr>
        <w:pStyle w:val="zAttorneysForTitlePage"/>
        <w:ind w:end="-540"/>
        <w:rPr/>
      </w:pPr>
      <w:r>
        <w:rPr/>
        <w:t>Attorneys for</w:t>
        <w:br/>
        <w:t>SOUTHERN CALIFORNIA EDISON COMPANY</w:t>
      </w:r>
    </w:p>
    <w:p>
      <w:pPr>
        <w:pStyle w:val="zEdisonAddressTitlePage"/>
        <w:rPr/>
      </w:pPr>
      <w:r>
        <w:rPr/>
        <w:t>2244 Walnut Grove Avenue</w:t>
        <w:br/>
        <w:t>Post Office Box 800</w:t>
        <w:br/>
        <w:t>Rosemead, California  91770</w:t>
      </w:r>
    </w:p>
    <w:p>
      <w:pPr>
        <w:pStyle w:val="zPhone"/>
        <w:rPr/>
      </w:pPr>
      <w:r>
        <w:rPr/>
        <w:t>Telephone:</w:t>
        <w:tab/>
      </w:r>
      <w:bookmarkStart w:id="2" w:name="zPhone"/>
      <w:bookmarkEnd w:id="2"/>
      <w:r>
        <w:rPr/>
        <w:t>(626) 302-6819</w:t>
      </w:r>
    </w:p>
    <w:p>
      <w:pPr>
        <w:pStyle w:val="zFacsimile"/>
        <w:rPr/>
      </w:pPr>
      <w:r>
        <w:rPr/>
        <w:t>Facsimile:</w:t>
        <w:tab/>
      </w:r>
      <w:bookmarkStart w:id="3" w:name="zFax"/>
      <w:bookmarkEnd w:id="3"/>
      <w:r>
        <w:rPr/>
        <w:t>(626) 302-2050</w:t>
      </w:r>
    </w:p>
    <w:p>
      <w:pPr>
        <w:pStyle w:val="zEmail"/>
        <w:rPr/>
      </w:pPr>
      <w:r>
        <w:rPr/>
        <w:t>E-mail:</w:t>
        <w:tab/>
      </w:r>
      <w:bookmarkStart w:id="4" w:name="zEmail"/>
      <w:bookmarkEnd w:id="4"/>
      <w:r>
        <w:rPr/>
        <w:t>jennifer.tsao@sce.com</w:t>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zDate"/>
        <w:rPr/>
      </w:pPr>
      <w:r>
        <w:rPr>
          <w:color w:val="auto"/>
        </w:rPr>
        <w:t>Dated:</w:t>
      </w:r>
      <w:r>
        <w:rPr>
          <w:rStyle w:val="zDocDate"/>
        </w:rPr>
        <w:t xml:space="preserve">  </w:t>
      </w:r>
      <w:bookmarkStart w:id="5" w:name="zDate"/>
      <w:bookmarkEnd w:id="5"/>
      <w:r>
        <w:rPr>
          <w:rStyle w:val="zDocDate"/>
        </w:rPr>
        <w:t>December 11, 2000</w:t>
      </w:r>
    </w:p>
    <w:p>
      <w:pPr>
        <w:pStyle w:val="zHeader"/>
        <w:rPr/>
      </w:pPr>
      <w:r>
        <w:rPr/>
        <w:t>BEFORE THE PUBLIC UTILITIES COMMISSION OF THE</w:t>
        <w:br/>
        <w:t>STATE OF CALIFORNIA</w:t>
      </w:r>
    </w:p>
    <w:tbl>
      <w:tblPr>
        <w:tblW w:w="9738" w:type="dxa"/>
        <w:jc w:val="start"/>
        <w:tblInd w:w="0" w:type="dxa"/>
        <w:tblLayout w:type="fixed"/>
        <w:tblCellMar>
          <w:top w:w="0" w:type="dxa"/>
          <w:start w:w="108" w:type="dxa"/>
          <w:bottom w:w="0" w:type="dxa"/>
          <w:end w:w="108" w:type="dxa"/>
        </w:tblCellMar>
      </w:tblPr>
      <w:tblGrid>
        <w:gridCol w:w="5040"/>
        <w:gridCol w:w="378"/>
        <w:gridCol w:w="4320"/>
      </w:tblGrid>
      <w:tr>
        <w:trPr/>
        <w:tc>
          <w:tcPr>
            <w:tcW w:w="5040" w:type="dxa"/>
            <w:tcBorders>
              <w:bottom w:val="single" w:sz="4" w:space="0" w:color="000000"/>
            </w:tcBorders>
          </w:tcPr>
          <w:p>
            <w:pPr>
              <w:pStyle w:val="zCaption"/>
              <w:rPr/>
            </w:pPr>
            <w:r>
              <w:rPr/>
              <w:t>Order Instituting Rulemaking on the Commission’s Proposed Policies Governing Restructuring California’s Electric Services Industry and Reforming Regulation</w:t>
            </w:r>
          </w:p>
          <w:p>
            <w:pPr>
              <w:pStyle w:val="zCaption"/>
              <w:pBdr>
                <w:bottom w:val="single" w:sz="4" w:space="1" w:color="000000"/>
              </w:pBdr>
              <w:rPr/>
            </w:pPr>
            <w:r>
              <w:rPr/>
            </w:r>
          </w:p>
          <w:p>
            <w:pPr>
              <w:pStyle w:val="zCaption"/>
              <w:rPr/>
            </w:pPr>
            <w:r>
              <w:rPr/>
            </w:r>
          </w:p>
          <w:p>
            <w:pPr>
              <w:pStyle w:val="zCaption"/>
              <w:rPr/>
            </w:pPr>
            <w:r>
              <w:rPr/>
              <w:t>Order Instituting Investigation on the Commission’s Proposed Policies Governing Restructuring California’s Electric Services Industry and Reforming Regulation</w:t>
            </w:r>
          </w:p>
          <w:p>
            <w:pPr>
              <w:pStyle w:val="zCaption"/>
              <w:rPr/>
            </w:pPr>
            <w:r>
              <w:rPr/>
            </w:r>
          </w:p>
        </w:tc>
        <w:tc>
          <w:tcPr>
            <w:tcW w:w="378" w:type="dxa"/>
            <w:tcBorders/>
          </w:tcPr>
          <w:p>
            <w:pPr>
              <w:pStyle w:val="Normal"/>
              <w:spacing w:lineRule="atLeast" w:line="240"/>
              <w:ind w:end="72"/>
              <w:rPr/>
            </w:pPr>
            <w:r>
              <w:rPr/>
              <w:t>)))))))))))</w:t>
            </w:r>
          </w:p>
        </w:tc>
        <w:tc>
          <w:tcPr>
            <w:tcW w:w="4320" w:type="dxa"/>
            <w:tcBorders/>
          </w:tcPr>
          <w:p>
            <w:pPr>
              <w:pStyle w:val="zAppNo"/>
              <w:spacing w:lineRule="atLeast" w:line="240" w:before="240" w:after="0"/>
              <w:jc w:val="center"/>
              <w:rPr/>
            </w:pPr>
            <w:r>
              <w:rPr/>
              <w:t>R.94-04-031</w:t>
              <w:br/>
              <w:br/>
              <w:br/>
              <w:br/>
              <w:br/>
              <w:br/>
              <w:t>I.94-04-032</w:t>
            </w:r>
          </w:p>
        </w:tc>
      </w:tr>
    </w:tbl>
    <w:p>
      <w:pPr>
        <w:pStyle w:val="zTitle"/>
        <w:spacing w:before="720" w:after="480"/>
        <w:rPr/>
      </w:pPr>
      <w:r>
        <w:rPr/>
        <w:t>RESPONSE by SOUTHERN CALIFORNIA EDISON COMPANY (U 338-E) TO PETITION BY PG&amp;E FOR MODIFICATION OF D.97-10-087</w:t>
      </w:r>
    </w:p>
    <w:p>
      <w:pPr>
        <w:pStyle w:val="Heading1"/>
        <w:ind w:hanging="0" w:start="0"/>
        <w:rPr/>
      </w:pPr>
      <w:r>
        <w:rPr/>
        <w:br/>
        <w:t>INTRODUCTION</w:t>
      </w:r>
    </w:p>
    <w:p>
      <w:pPr>
        <w:pStyle w:val="Heading1Text"/>
        <w:rPr/>
      </w:pPr>
      <w:r>
        <w:rPr/>
        <w:t xml:space="preserve">Pursuant to Rule 47(f) of the California Public Utilities Commission (“Commission”) Rules of Practice and Procedure, Southern California Edison Company (“SCE”) submits this Response to the Petition by Pacific Gas and Electric Company (“PG&amp;E”) for modification of Decision 97-10-087 (the “Petition”).  </w:t>
      </w:r>
    </w:p>
    <w:p>
      <w:pPr>
        <w:pStyle w:val="Heading1Text"/>
        <w:rPr/>
      </w:pPr>
      <w:r>
        <w:rPr/>
        <w:t>In the Petition, PG&amp;E asks the Commission to approve an amendment to PG&amp;E’s Electric Rule 22 (adopted by D. 97-10-087) to clarify the procedure to be followed by the utilities in paying accumulated negative charges (</w:t>
      </w:r>
      <w:r>
        <w:rPr>
          <w:u w:val="single"/>
        </w:rPr>
        <w:t>i.e.</w:t>
      </w:r>
      <w:r>
        <w:rPr/>
        <w:t xml:space="preserve">, credits or refunds) for direct access customer accounts which are billed under Electric Service Provider (“ESP”) Consolidated Billing.  </w:t>
      </w:r>
    </w:p>
    <w:p>
      <w:pPr>
        <w:pStyle w:val="Heading1Text"/>
        <w:rPr/>
      </w:pPr>
      <w:r>
        <w:rPr/>
        <w:t xml:space="preserve">PG&amp;E requests that the Commission adopt its procedure for handling negative utility charges under ESP Consolidated Billing.  Specifically, PG&amp;E requests that it be permitted to require the ESP to show that it is either passing the credits on to its customers or that its customers have assigned to the ESP the right to receive the credits before PG&amp;E is obligated to release payment of accumulated credits to ESPs performing consolidated billing.  PG&amp;E claims that this process will protect it from the risk of future claims by customers that PG&amp;E should have paid the credits directly to them.  </w:t>
      </w:r>
    </w:p>
    <w:p>
      <w:pPr>
        <w:pStyle w:val="Heading1Text"/>
        <w:rPr/>
      </w:pPr>
      <w:r>
        <w:rPr/>
        <w:t xml:space="preserve">While SCE does not oppose the proposed procedure </w:t>
      </w:r>
      <w:r>
        <w:rPr>
          <w:u w:val="single"/>
        </w:rPr>
        <w:t>if applied solely to PG&amp;E</w:t>
      </w:r>
      <w:r>
        <w:rPr/>
        <w:t>, for the reasons discussed below, SCE opposes any attempt to impose PG&amp;E’s proposed procedures on SCE.</w:t>
      </w:r>
    </w:p>
    <w:p>
      <w:pPr>
        <w:pStyle w:val="Heading1"/>
        <w:ind w:hanging="0" w:start="0"/>
        <w:rPr/>
      </w:pPr>
      <w:r>
        <w:rPr/>
        <w:br/>
        <w:t>DISCUSSION</w:t>
      </w:r>
    </w:p>
    <w:p>
      <w:pPr>
        <w:pStyle w:val="Heading2"/>
        <w:rPr/>
      </w:pPr>
      <w:r>
        <w:rPr/>
        <w:t>SCE Processes Both Charges and Credits on its Bills for ESP Consolidated Accounts as Required by Rule 22</w:t>
      </w:r>
      <w:r>
        <w:rPr>
          <w:u w:val="none"/>
        </w:rPr>
        <w:t>.</w:t>
      </w:r>
    </w:p>
    <w:p>
      <w:pPr>
        <w:pStyle w:val="Heading1Text"/>
        <w:rPr/>
      </w:pPr>
      <w:r>
        <w:rPr/>
        <w:t>The Petition states that clarification on the proper procedures for refunding credits is needed because Rule 22 makes no explicit reference to when the UDC’s charges are negative (</w:t>
      </w:r>
      <w:r>
        <w:rPr>
          <w:i/>
          <w:u w:val="single"/>
        </w:rPr>
        <w:t>i.e.</w:t>
      </w:r>
      <w:r>
        <w:rPr/>
        <w:t>, the customer is owed a credit).  SCE disagrees.  SCE believes the verification procedures set forth in the Petition are unnecessary because under its Rule 22,</w:t>
      </w:r>
      <w:r>
        <w:rPr>
          <w:rStyle w:val="FootnoteCharacters"/>
          <w:rStyle w:val="FootnoteReference"/>
        </w:rPr>
        <w:footnoteReference w:id="2"/>
      </w:r>
      <w:r>
        <w:rPr/>
        <w:t xml:space="preserve"> both charges and credits for ESP consolidated accounts must be sent to the ESP without regard to the particular relationship between the ESP and its direct access customer.  </w:t>
      </w:r>
    </w:p>
    <w:p>
      <w:pPr>
        <w:pStyle w:val="Heading1Text"/>
        <w:rPr/>
      </w:pPr>
      <w:r>
        <w:rPr/>
        <w:t>Rule 22 states that under ESP Consolidated Billing, SCE must calculate and send its bill to the ESP, and the ESP must then send a consolidated bill to the customer.  Rule 22.K.3.a.(1).  The customer is then obligated to pay the ESP for all SCE and ESP charges according to the terms established between the ESP and the customer.  Rule 22.L.2.d.  The ESP is financially obligated to pay the SCE charges regardless of whether it receives payment from the end-use customer.  Rule 22.k.3.a.(3)(c).</w:t>
      </w:r>
    </w:p>
    <w:p>
      <w:pPr>
        <w:pStyle w:val="Heading1Text"/>
        <w:rPr/>
      </w:pPr>
      <w:r>
        <w:rPr/>
        <w:t xml:space="preserve">Section K.6.a.(2)(a) regarding “Adjustment of Bills for Meter Error” for ESP Consolidated Billing further provides that:  “If an ESP is providing Consolidated ESP Billing for a Direct Access Service Account affected by meter error, Edison will transmit adjusted Edison and TTA Charges, calculated as provided in Rule 17, </w:t>
      </w:r>
      <w:r>
        <w:rPr>
          <w:u w:val="single"/>
        </w:rPr>
        <w:t>to the ESP</w:t>
      </w:r>
      <w:r>
        <w:rPr/>
        <w:t xml:space="preserve">.”  (Emphasis added.)  Section K.6.b.(3) regarding “Adjustment of Bills for Billing Error” for ESP Consolidated Billing provides that “Edison will adjust its bill </w:t>
      </w:r>
      <w:r>
        <w:rPr>
          <w:u w:val="single"/>
        </w:rPr>
        <w:t>to the ESP</w:t>
      </w:r>
      <w:r>
        <w:rPr/>
        <w:t xml:space="preserve"> under the Consolidated ESP Billing option for billing error pursuant to Rule 17 for Edison and TTA charges.”  (Emphasis added.)</w:t>
      </w:r>
    </w:p>
    <w:p>
      <w:pPr>
        <w:pStyle w:val="Heading1Text"/>
        <w:rPr/>
      </w:pPr>
      <w:r>
        <w:rPr/>
        <w:t>SCE interprets these provisions to mean that an ESP performing consolidated billing acts as the billing agent for the direct access customer and assumes all responsibilities to receive UDC charges as well as UDC credits for ESP consolidated accounts.  Based on this interpretation, SCE’s billing system was modified to recognize an ESP providing ESP Consolidated Billing as the party financially responsible for paying the bills directly to SCE, not the end-use customer.</w:t>
      </w:r>
      <w:r>
        <w:rPr>
          <w:rStyle w:val="FootnoteCharacters"/>
          <w:rStyle w:val="FootnoteReference"/>
        </w:rPr>
        <w:footnoteReference w:id="3"/>
      </w:r>
      <w:r>
        <w:rPr/>
        <w:t xml:space="preserve">  In other words, the ESP is considered the customer of record for any accounts it serves under ESP Consolidated Billing.  Accordingly, when SCE “sends its bill to the ESP,” SCE automatically processes all UDC charges as well as any credits that apply to the ESP consolidated accounts, which can serve to reduce outstanding ESP balances.  This process enables SCE to follow the same collection practices for ESP consolidated accounts as it follows for non-direct access customers.  </w:t>
      </w:r>
    </w:p>
    <w:p>
      <w:pPr>
        <w:pStyle w:val="Heading1Text"/>
        <w:rPr/>
      </w:pPr>
      <w:r>
        <w:rPr/>
        <w:t>If SCE is required to adopt the change proposed in the Petition, SCE will have to alter its billing system so that it no longer automatically processes credits/refunds to the ESP account and can instead delay such processing until appropriate documentation is received from the ESP and reviewed by SCE.  This could require costly system changes and manual processes for SCE that are not warranted or necessary.  The cost of such charges could be as much as several hundred thousand dollars.</w:t>
      </w:r>
    </w:p>
    <w:p>
      <w:pPr>
        <w:pStyle w:val="Heading2"/>
        <w:rPr/>
      </w:pPr>
      <w:r>
        <w:rPr/>
        <w:t>SCE Should Not Be in the Role of Policing the Customer Relationship.</w:t>
      </w:r>
    </w:p>
    <w:p>
      <w:pPr>
        <w:pStyle w:val="Heading1Text"/>
        <w:rPr/>
      </w:pPr>
      <w:r>
        <w:rPr/>
        <w:t>In performing the billing process described above, SCE does not interact with the customer or inquire into the customer’s relationship with the ESP before sending UDC charges or credits/refunds to the ESP.  SCE’s billing process is consistent with the Rule 22 provisions relating to ESP Consolidated Billing discussed above.  SCE should not be in the role of policing the relationship or the terms of any agreement between the ESP and its customers.  It is the ESP’s responsibility to act according to the terms of its agreement with its direct access customers, as the energy provider and billing agent.  It is not SCE’s responsibility to investigate whether the ESP is performing its agreements with end-use customers.  SCE simply cannot justify the added administrative expense of serving in such a policing role.</w:t>
      </w:r>
    </w:p>
    <w:p>
      <w:pPr>
        <w:pStyle w:val="Heading1Text"/>
        <w:rPr/>
      </w:pPr>
      <w:r>
        <w:rPr/>
        <w:t xml:space="preserve">PG&amp;E’s rationale for requiring documentation from the ESP prior to forwarding any credits/refunds is to protect itself from potential claims filed against PG&amp;E by the direct access customer if the ESP does not forward the credits/refunds to the customer as required.  SCE believes that the direct access customer, having chosen the ESP as its billing agent, is required to look to the ESP to resolve any such claim for billing error.  This is consistent with Section k.6.a(2)(a) of Rule 22 regarding adjustment of bills for meter error, discussed above, which states that under ESP Consolidated Billing, the customer will be solely responsible for obtaining refunds of ESP electric power overcharges attributable to a fast meter from its current and prior ESPs, as appropriate.  </w:t>
      </w:r>
    </w:p>
    <w:p>
      <w:pPr>
        <w:pStyle w:val="Heading2"/>
        <w:rPr/>
      </w:pPr>
      <w:r>
        <w:rPr/>
        <w:t>The Credits on ESP Consolidated Accounts Should be Sent to the ESP.</w:t>
      </w:r>
    </w:p>
    <w:p>
      <w:pPr>
        <w:pStyle w:val="Heading1Text"/>
        <w:rPr/>
      </w:pPr>
      <w:r>
        <w:rPr/>
        <w:t>PG&amp;E contends that the credits (to the extent that PG&amp;E owes the credits) belong to the direct access customers and not the ESP, and therefore PG&amp;E should be allowed to require certain documentation from the ESP before PG&amp;E pays the credits to the ESP.  PG&amp;E cites to D.98-07-032 for the proposition that the Commission treated RCS credits as belonging to customers in the Revenue Cycle Services (“RCS”) case.  PG&amp;E states that it was permitted for a limited time to provide the credits directly to ESPs conducting consolidated billing.  PG&amp;E claims that this was due to PG&amp;E’s inability to show the credits on customers’ bills, although the Commission’s preference was to have the credits flowed through on customers’ bills.  This does not comport with D.98-07-032.</w:t>
      </w:r>
    </w:p>
    <w:p>
      <w:pPr>
        <w:pStyle w:val="Heading1Text"/>
        <w:rPr/>
      </w:pPr>
      <w:r>
        <w:rPr/>
        <w:t>The Commission in D.98-07-032 recognized that credits/refunds under ESP Consolidated Billing should be sent to the ESP.  In rejecting PG&amp;E’s proposal to send checks for RCS credits directly to customers billed under ESP Consolidated Billing, the Commission stated that:</w:t>
      </w:r>
    </w:p>
    <w:p>
      <w:pPr>
        <w:pStyle w:val="Quote1"/>
        <w:rPr/>
      </w:pPr>
      <w:r>
        <w:rPr/>
        <w:t>Under consolidated ESP billing it is the ESP that bills and collects from the end-use customer.  The ESP is required to pay the full utility charges regardless of whether the customer actually pays the ESP.  Therefore, because it is the ultimate responsibility of the ESP to guarantee payment, the ESP should receive the refund check.  Otherwise, we would have the possibility that customers that have not paid the ESP will receive a refund check from the utility for service that they have not paid for.  Also we agree, in the case of consolidated billing by ESPs, that it is anti-competitive to have the refund go directly to ESP end-use customers for which the UDC does not directly send a bill.”  (D.98-07-032, p.16).</w:t>
      </w:r>
    </w:p>
    <w:p>
      <w:pPr>
        <w:pStyle w:val="Heading1Text"/>
        <w:rPr/>
      </w:pPr>
      <w:r>
        <w:rPr/>
        <w:t xml:space="preserve">PG&amp;E claims that the fact that credits are paid directly to the customers under UDC Consolidated Billing and Separate Billing demonstrates that the credits actually belong to the customers.  PG&amp;E’s own Petition, however, recognizes that in some instances the customer may have assigned his/her right to any credit/refund to the ESP.  In addition, as stated above, the Commission in D.98-07-032 recognized that credits/refunds under ESP Consolidated Billing are to be treated differently than under UDC Consolidated and Separate Billing.  </w:t>
      </w:r>
    </w:p>
    <w:p>
      <w:pPr>
        <w:pStyle w:val="Heading2"/>
        <w:rPr/>
      </w:pPr>
      <w:r>
        <w:rPr/>
        <w:t>Any Changes to Rule 22 Applicable to All of the Utilities Should Be Discussed in the Rule 22 Working Group or Other Forum.</w:t>
      </w:r>
    </w:p>
    <w:p>
      <w:pPr>
        <w:pStyle w:val="Heading1Text"/>
        <w:rPr/>
      </w:pPr>
      <w:r>
        <w:rPr/>
        <w:t>PG&amp;E states that it did not raise the issues in the Petition in the Rule 22 Working Group because PG&amp;E wanted to bring the matter directly to the Commission’s attention as soon as possible.  However, if the Commission would like all of the UDCs to follow the same practices regarding the processing of credits under ESP Consolidated Billing, then the issues raised by the Petition need to be further explored and discussed in a forum in which all UDCs participate, whether in the Rule 22 Working Group or another forum.</w:t>
      </w:r>
    </w:p>
    <w:p>
      <w:pPr>
        <w:pStyle w:val="Heading1Text"/>
        <w:rPr/>
      </w:pPr>
      <w:r>
        <w:rPr/>
        <w:t xml:space="preserve">There are several unanswered questions raised by the Petition.  For instance, what procedure will PG&amp;E follow if the ESP fails to provide “sufficient” documentation that the ESP will either forward the credit/refunds to the direct access customer or that the ESP is the assignee of such refunds.  Would PG&amp;E refuse to pay the credit/refunds to the ESP?  If so, this would be contrary to SCE’s practice of timely accounting for current credit/refunds on a customer accounts.  Would PG&amp;E then pay the credit/refunds directly to the direct access customer?  If so, this appears to conflict with the finding of D. 98-07-032 which precluded PG&amp;E from sending RCS credits directly to direct access customers billed under ESP Consolidated Billing.  </w:t>
      </w:r>
    </w:p>
    <w:p>
      <w:pPr>
        <w:pStyle w:val="Heading1Text"/>
        <w:rPr/>
      </w:pPr>
      <w:r>
        <w:rPr/>
        <w:t>SCE submits that questions such as the foregoing need to be addressed by all the UDCs before the Commission rules on the Petition, if the proposed change is to be applied to all the UDCs.</w:t>
      </w:r>
    </w:p>
    <w:p>
      <w:pPr>
        <w:pStyle w:val="Heading1"/>
        <w:ind w:hanging="0" w:start="0"/>
        <w:rPr/>
      </w:pPr>
      <w:r>
        <w:rPr/>
        <w:br/>
        <w:t>conclusion</w:t>
      </w:r>
    </w:p>
    <w:p>
      <w:pPr>
        <w:pStyle w:val="Heading1Text"/>
        <w:rPr/>
      </w:pPr>
      <w:r>
        <w:rPr/>
        <w:t>In conclusion, for the reasons discussed above, SCE opposes the Petition to the extent it would require SCE to implement PG&amp;E’s proposed changes into SCE’s own Rule 22.  SCE requests that the Commission deny the Petition as applied to SCE.  Alternatively, if the Commission would like all of the UDCs to follow identical procedures for credits/refunds under ESP Consolidated Billing, SCE believes that the UDCs should further discuss the issues raised by the Petition in the Rule 22 Working Group or other forum before any action on the Petition is taken.</w:t>
      </w:r>
    </w:p>
    <w:p>
      <w:pPr>
        <w:pStyle w:val="Normal"/>
        <w:keepNext w:val="true"/>
        <w:spacing w:lineRule="atLeast" w:line="240" w:before="240" w:after="0"/>
        <w:ind w:start="3600" w:end="0"/>
        <w:rPr/>
      </w:pPr>
      <w:r>
        <w:rPr/>
        <w:t>Respectfully submitted,</w:t>
      </w:r>
    </w:p>
    <w:p>
      <w:pPr>
        <w:pStyle w:val="zAttorneyNames"/>
        <w:rPr>
          <w:color w:val="0000FF"/>
        </w:rPr>
      </w:pPr>
      <w:r>
        <w:rPr>
          <w:color w:val="0000FF"/>
        </w:rPr>
      </w:r>
    </w:p>
    <w:p>
      <w:pPr>
        <w:pStyle w:val="zAttorneyNames"/>
        <w:rPr>
          <w:color w:val="0000FF"/>
        </w:rPr>
      </w:pPr>
      <w:bookmarkStart w:id="6" w:name="zAttorneys"/>
      <w:bookmarkEnd w:id="6"/>
      <w:r>
        <w:rPr>
          <w:color w:val="0000FF"/>
        </w:rPr>
        <w:t>MEGAN SCOTT-KAKURES</w:t>
      </w:r>
    </w:p>
    <w:p>
      <w:pPr>
        <w:pStyle w:val="zAttorneyNames"/>
        <w:rPr>
          <w:color w:val="0000FF"/>
        </w:rPr>
      </w:pPr>
      <w:r>
        <w:rPr>
          <w:color w:val="0000FF"/>
        </w:rPr>
        <w:t>JENNIFER M. TSAO</w:t>
      </w:r>
    </w:p>
    <w:p>
      <w:pPr>
        <w:pStyle w:val="Normal"/>
        <w:keepNext w:val="true"/>
        <w:spacing w:before="480" w:after="0"/>
        <w:ind w:start="3600" w:end="0"/>
        <w:rPr>
          <w:color w:val="0000FF"/>
        </w:rPr>
      </w:pPr>
      <w:r>
        <w:rPr>
          <w:color w:val="0000FF"/>
        </w:rPr>
      </w:r>
    </w:p>
    <w:tbl>
      <w:tblPr>
        <w:tblW w:w="5586" w:type="dxa"/>
        <w:jc w:val="start"/>
        <w:tblInd w:w="3600" w:type="dxa"/>
        <w:tblLayout w:type="fixed"/>
        <w:tblCellMar>
          <w:top w:w="0" w:type="dxa"/>
          <w:start w:w="72" w:type="dxa"/>
          <w:bottom w:w="0" w:type="dxa"/>
          <w:end w:w="72" w:type="dxa"/>
        </w:tblCellMar>
      </w:tblPr>
      <w:tblGrid>
        <w:gridCol w:w="690"/>
        <w:gridCol w:w="4896"/>
      </w:tblGrid>
      <w:tr>
        <w:trPr/>
        <w:tc>
          <w:tcPr>
            <w:tcW w:w="690" w:type="dxa"/>
            <w:tcBorders>
              <w:top w:val="single" w:sz="6" w:space="0" w:color="000000"/>
            </w:tcBorders>
          </w:tcPr>
          <w:p>
            <w:pPr>
              <w:pStyle w:val="Normal"/>
              <w:keepNext w:val="true"/>
              <w:spacing w:lineRule="atLeast" w:line="240"/>
              <w:rPr/>
            </w:pPr>
            <w:r>
              <w:rPr/>
              <w:t>By:</w:t>
            </w:r>
          </w:p>
        </w:tc>
        <w:tc>
          <w:tcPr>
            <w:tcW w:w="4896" w:type="dxa"/>
            <w:tcBorders>
              <w:top w:val="single" w:sz="6" w:space="0" w:color="000000"/>
            </w:tcBorders>
          </w:tcPr>
          <w:p>
            <w:pPr>
              <w:pStyle w:val="zAuthorName"/>
              <w:keepNext w:val="true"/>
              <w:rPr/>
            </w:pPr>
            <w:bookmarkStart w:id="7" w:name="zAuthorName"/>
            <w:bookmarkEnd w:id="7"/>
            <w:r>
              <w:rPr/>
              <w:t>Jennifer M. Tsao</w:t>
            </w:r>
          </w:p>
        </w:tc>
      </w:tr>
    </w:tbl>
    <w:p>
      <w:pPr>
        <w:pStyle w:val="zAttorneysFor"/>
        <w:ind w:end="-540"/>
        <w:rPr/>
      </w:pPr>
      <w:r>
        <w:rPr/>
        <w:t>Attorneys for</w:t>
        <w:br/>
        <w:t>SOUTHERN CALIFORNIA EDISON COMPANY</w:t>
      </w:r>
    </w:p>
    <w:p>
      <w:pPr>
        <w:pStyle w:val="zEdisonAddressTitlePage"/>
        <w:rPr>
          <w:color w:val="0000FF"/>
        </w:rPr>
      </w:pPr>
      <w:r>
        <w:rPr>
          <w:color w:val="0000FF"/>
        </w:rPr>
      </w:r>
    </w:p>
    <w:p>
      <w:pPr>
        <w:pStyle w:val="zPhone"/>
        <w:rPr>
          <w:color w:val="0000FF"/>
        </w:rPr>
      </w:pPr>
      <w:r>
        <w:rPr>
          <w:color w:val="0000FF"/>
        </w:rPr>
      </w:r>
    </w:p>
    <w:p>
      <w:pPr>
        <w:pStyle w:val="zFacsimile"/>
        <w:rPr/>
      </w:pPr>
      <w:r>
        <w:rPr/>
      </w:r>
    </w:p>
    <w:p>
      <w:pPr>
        <w:pStyle w:val="zEmail"/>
        <w:rPr/>
      </w:pPr>
      <w:r>
        <w:rPr/>
      </w:r>
    </w:p>
    <w:p>
      <w:pPr>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zDate2"/>
        <w:rPr/>
      </w:pPr>
      <w:r>
        <w:rPr/>
      </w:r>
    </w:p>
    <w:p>
      <w:pPr>
        <w:pStyle w:val="heading11"/>
        <w:spacing w:lineRule="atLeast" w:line="240" w:before="480" w:after="720"/>
        <w:rPr/>
      </w:pPr>
      <w:bookmarkStart w:id="8" w:name="zAutoNum"/>
      <w:bookmarkEnd w:id="8"/>
      <w:r>
        <w:rPr/>
        <w:t>CERTIFICATE OF SERVICE</w:t>
      </w:r>
    </w:p>
    <w:p>
      <w:pPr>
        <w:pStyle w:val="Normal"/>
        <w:spacing w:lineRule="atLeast" w:line="480" w:before="0" w:after="240"/>
        <w:ind w:firstLine="720" w:end="0"/>
        <w:rPr/>
      </w:pPr>
      <w:r>
        <w:rPr/>
        <w:t xml:space="preserve">I hereby certify that, pursuant to the Commission’s Rules of Practice and Procedure, I have this day served a true copy of </w:t>
      </w:r>
      <w:r>
        <w:rPr>
          <w:lang w:val="en-CA"/>
        </w:rPr>
        <w:t>SOUTHERN CALIFORNIA EDISON COMPANY'S (U 338-E) RESPONSE TO PETITION BY PG&amp;E FOR MODIFICATION OF D.97-10-087</w:t>
      </w:r>
      <w:r>
        <w:rPr/>
        <w:t xml:space="preserve"> on all parties identified on the attached service list.  Service was effected by means indicated below:</w:t>
      </w:r>
    </w:p>
    <w:p>
      <w:pPr>
        <w:pStyle w:val="CertificateText"/>
        <w:ind w:hanging="720" w:start="1440" w:end="0"/>
        <w:rPr/>
      </w:pPr>
      <w:r>
        <w:rPr>
          <w:rFonts w:eastAsia="Wingdings" w:cs="Wingdings" w:ascii="Wingdings" w:hAnsi="Wingdings"/>
          <w:sz w:val="32"/>
        </w:rPr>
        <w:sym w:font="Wingdings" w:char="f06f"/>
      </w:r>
      <w:r>
        <w:rPr/>
        <w:tab/>
        <w:t>Placing the copies in properly addressed sealed envelopes and depositing such envelopes in the United States mail with first</w:t>
        <w:noBreakHyphen/>
        <w:t>class postage prepaid (Via First Class Mail);</w:t>
      </w:r>
    </w:p>
    <w:p>
      <w:pPr>
        <w:pStyle w:val="CertificateText"/>
        <w:ind w:hanging="720" w:start="1440" w:end="0"/>
        <w:rPr/>
      </w:pPr>
      <w:r>
        <w:rPr>
          <w:rFonts w:eastAsia="Wingdings" w:cs="Wingdings" w:ascii="Wingdings" w:hAnsi="Wingdings"/>
          <w:sz w:val="32"/>
        </w:rPr>
        <w:sym w:font="Wingdings" w:char="f06f"/>
      </w:r>
      <w:r>
        <w:rPr/>
        <w:tab/>
        <w:t>Placing the copies in sealed envelopes and causing such envelopes to be delivered by hand to the offices of each addressee (Via Courier);</w:t>
      </w:r>
    </w:p>
    <w:p>
      <w:pPr>
        <w:pStyle w:val="CertificateText"/>
        <w:ind w:hanging="720" w:start="1440" w:end="0"/>
        <w:rPr/>
      </w:pPr>
      <w:r>
        <w:rPr>
          <w:rFonts w:eastAsia="Wingdings" w:cs="Wingdings" w:ascii="Wingdings" w:hAnsi="Wingdings"/>
          <w:sz w:val="32"/>
        </w:rPr>
        <w:sym w:font="Wingdings" w:char="f06f"/>
      </w:r>
      <w:r>
        <w:rPr/>
        <w:tab/>
        <w:t>Transmitting the copies via facsimile, modem, or other electronic means (Via Electronic Means).</w:t>
      </w:r>
    </w:p>
    <w:p>
      <w:pPr>
        <w:pStyle w:val="Normal"/>
        <w:ind w:firstLine="720" w:end="0"/>
        <w:rPr/>
      </w:pPr>
      <w:bookmarkStart w:id="9" w:name="zCOSDate"/>
      <w:bookmarkEnd w:id="9"/>
      <w:r>
        <w:rPr/>
        <w:t xml:space="preserve">Executed this </w:t>
      </w:r>
      <w:r>
        <w:rPr>
          <w:b/>
          <w:color w:val="0000FF"/>
          <w:lang w:val="en-CA"/>
        </w:rPr>
        <w:t>11th</w:t>
      </w:r>
      <w:r>
        <w:rPr>
          <w:color w:val="0000FF"/>
        </w:rPr>
        <w:t xml:space="preserve"> </w:t>
      </w:r>
      <w:r>
        <w:rPr>
          <w:b/>
          <w:color w:val="0000FF"/>
          <w:lang w:val="en-CA"/>
        </w:rPr>
        <w:t>day of  December, 2000</w:t>
      </w:r>
      <w:r>
        <w:rPr/>
        <w:t>, at Rosemead, California.</w:t>
      </w:r>
    </w:p>
    <w:p>
      <w:pPr>
        <w:pStyle w:val="Normal"/>
        <w:keepNext w:val="true"/>
        <w:keepLines/>
        <w:spacing w:before="480" w:after="0"/>
        <w:ind w:start="3600" w:end="-547"/>
        <w:rPr/>
      </w:pPr>
      <w:r>
        <w:rPr/>
        <w:t>______________________________________________</w:t>
        <w:br/>
      </w:r>
      <w:bookmarkStart w:id="10" w:name="zSignatureName"/>
      <w:bookmarkEnd w:id="10"/>
      <w:r>
        <w:rPr/>
        <w:t>Anthony V. Archer</w:t>
        <w:br/>
        <w:t>Project Analyst</w:t>
        <w:br/>
        <w:t>SOUTHERN CALIFORNIA EDISON COMPANY</w:t>
      </w:r>
    </w:p>
    <w:p>
      <w:pPr>
        <w:pStyle w:val="zEdisonAddressCOSPage1"/>
        <w:rPr/>
      </w:pPr>
      <w:r>
        <w:rPr/>
      </w:r>
    </w:p>
    <w:p>
      <w:pPr>
        <w:pStyle w:val="zEdisonAddressCOSPage1"/>
        <w:rPr/>
      </w:pPr>
      <w:bookmarkStart w:id="11" w:name="zCOSAddress"/>
      <w:bookmarkEnd w:id="11"/>
      <w:r>
        <w:rPr/>
        <w:t>2244 Walnut Grove Avenue</w:t>
      </w:r>
    </w:p>
    <w:p>
      <w:pPr>
        <w:pStyle w:val="zEdisonAddressCOSPage1"/>
        <w:rPr/>
      </w:pPr>
      <w:r>
        <w:rPr/>
        <w:t>Post Office Box 800</w:t>
      </w:r>
    </w:p>
    <w:p>
      <w:pPr>
        <w:pStyle w:val="zEdisonAddressCOSPage1"/>
        <w:rPr/>
      </w:pPr>
      <w:r>
        <w:rPr/>
        <w:t>Rosemead, California  91770</w:t>
      </w:r>
    </w:p>
    <w:p>
      <w:pPr>
        <w:sectPr>
          <w:headerReference w:type="default" r:id="rId8"/>
          <w:headerReference w:type="first" r:id="rId9"/>
          <w:footerReference w:type="default" r:id="rId10"/>
          <w:footerReference w:type="first" r:id="rId11"/>
          <w:footnotePr>
            <w:numFmt w:val="decimal"/>
          </w:footnotePr>
          <w:type w:val="nextPage"/>
          <w:pgSz w:w="12240" w:h="15840"/>
          <w:pgMar w:left="1440" w:right="1440" w:gutter="0" w:header="720" w:top="776" w:footer="720" w:bottom="1440"/>
          <w:pgNumType w:fmt="decimal"/>
          <w:formProt w:val="false"/>
          <w:textDirection w:val="lrTb"/>
          <w:docGrid w:type="default" w:linePitch="360" w:charSpace="0"/>
        </w:sectPr>
        <w:pStyle w:val="Normal"/>
        <w:rPr/>
      </w:pPr>
      <w:r>
        <w:rPr/>
      </w:r>
    </w:p>
    <w:p>
      <w:pPr>
        <w:pStyle w:val="Normal"/>
        <w:spacing w:lineRule="atLeast" w:line="240" w:before="480" w:after="480"/>
        <w:jc w:val="center"/>
        <w:rPr>
          <w:color w:val="0000FF"/>
          <w:lang w:val="en-CA"/>
        </w:rPr>
      </w:pPr>
      <w:r>
        <w:rPr>
          <w:color w:val="0000FF"/>
          <w:lang w:val="en-CA"/>
        </w:rPr>
        <w:t>December 11, 2000</w:t>
      </w:r>
    </w:p>
    <w:p>
      <w:pPr>
        <w:pStyle w:val="Normal"/>
        <w:spacing w:lineRule="atLeast" w:line="240"/>
        <w:rPr/>
      </w:pPr>
      <w:r>
        <w:rPr/>
        <w:t>Docket Clerk</w:t>
        <w:br/>
        <w:t>California Public Utilities Commission</w:t>
        <w:br/>
        <w:t>505 Van Ness Avenue</w:t>
        <w:br/>
        <w:t>San Francisco, California  94102</w:t>
      </w:r>
    </w:p>
    <w:p>
      <w:pPr>
        <w:pStyle w:val="Re"/>
        <w:rPr/>
      </w:pPr>
      <w:r>
        <w:rPr/>
        <w:t xml:space="preserve">Re:  </w:t>
      </w:r>
      <w:r>
        <w:rPr>
          <w:u w:val="single"/>
        </w:rPr>
        <w:t>R.94-04-031</w:t>
      </w:r>
    </w:p>
    <w:p>
      <w:pPr>
        <w:pStyle w:val="Salutation"/>
        <w:rPr/>
      </w:pPr>
      <w:r>
        <w:rPr/>
        <w:t>Dear Docket Clerk:</w:t>
      </w:r>
    </w:p>
    <w:p>
      <w:pPr>
        <w:pStyle w:val="LetterText"/>
        <w:rPr/>
      </w:pPr>
      <w:r>
        <w:rPr/>
        <w:t xml:space="preserve">Enclosed for filing with the Commission are the original and five copies of the </w:t>
      </w:r>
      <w:r>
        <w:rPr>
          <w:b/>
          <w:color w:val="0000FF"/>
          <w:lang w:val="en-CA"/>
        </w:rPr>
        <w:t>SOUTHERN CALIFORNIA EDISON COMPANY'S (U 338-E) RESPONSE TO PETITION BY PG&amp;E FOR MODIFICATION OF D.97-10-087</w:t>
      </w:r>
      <w:r>
        <w:rPr/>
        <w:t xml:space="preserve"> in the above-referenced proceeding.</w:t>
      </w:r>
    </w:p>
    <w:p>
      <w:pPr>
        <w:pStyle w:val="LetterText"/>
        <w:rPr/>
      </w:pPr>
      <w:r>
        <w:rPr/>
        <w:t>We request that a copy of this document be file-stamped and returned for our records.  A self-addressed, stamped envelope is enclosed for your convenience.</w:t>
      </w:r>
    </w:p>
    <w:p>
      <w:pPr>
        <w:pStyle w:val="LetterText"/>
        <w:rPr/>
      </w:pPr>
      <w:r>
        <w:rPr/>
        <w:t>Your courtesy in this matter is appreciated.</w:t>
      </w:r>
    </w:p>
    <w:p>
      <w:pPr>
        <w:pStyle w:val="Closing"/>
        <w:rPr/>
      </w:pPr>
      <w:r>
        <w:rPr/>
        <w:t>Very truly yours,</w:t>
      </w:r>
    </w:p>
    <w:p>
      <w:pPr>
        <w:pStyle w:val="zClosing"/>
        <w:rPr>
          <w:color w:val="0000FF"/>
          <w:lang w:val="en-CA"/>
        </w:rPr>
      </w:pPr>
      <w:r>
        <w:rPr>
          <w:color w:val="0000FF"/>
          <w:lang w:val="en-CA"/>
        </w:rPr>
        <w:t>Jennifer M. Tsao</w:t>
      </w:r>
    </w:p>
    <w:p>
      <w:pPr>
        <w:pStyle w:val="Normal"/>
        <w:spacing w:before="480" w:after="0"/>
        <w:rPr>
          <w:color w:val="0000FF"/>
          <w:sz w:val="16"/>
        </w:rPr>
      </w:pPr>
      <w:r>
        <w:rPr>
          <w:color w:val="0000FF"/>
          <w:sz w:val="16"/>
        </w:rPr>
        <w:t>JMT:scp:LW003686113</w:t>
      </w:r>
    </w:p>
    <w:p>
      <w:pPr>
        <w:pStyle w:val="Enclosures"/>
        <w:rPr/>
      </w:pPr>
      <w:r>
        <w:rPr/>
        <w:t>Enclosures</w:t>
      </w:r>
    </w:p>
    <w:p>
      <w:pPr>
        <w:pStyle w:val="cc"/>
        <w:rPr/>
      </w:pPr>
      <w:r>
        <w:rPr/>
        <w:t>cc:</w:t>
        <w:tab/>
        <w:t>All Parties of Record</w:t>
      </w:r>
    </w:p>
    <w:p>
      <w:pPr>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547" w:top="1440" w:footer="504" w:bottom="1440"/>
          <w:pgNumType w:fmt="decimal"/>
          <w:formProt w:val="false"/>
          <w:textDirection w:val="lrTb"/>
          <w:docGrid w:type="default" w:linePitch="360" w:charSpace="0"/>
        </w:sectPr>
        <w:pStyle w:val="Normal"/>
        <w:rPr/>
      </w:pPr>
      <w:r>
        <w:rPr/>
        <w:t>(U 338-E)</w:t>
      </w:r>
    </w:p>
    <w:p>
      <w:pPr>
        <w:pStyle w:val="Normal"/>
        <w:rPr/>
      </w:pPr>
      <w:r>
        <w:rPr/>
      </w:r>
    </w:p>
    <w:sectPr>
      <w:headerReference w:type="default" r:id="rId16"/>
      <w:headerReference w:type="first" r:id="rId17"/>
      <w:footerReference w:type="default" r:id="rId18"/>
      <w:footerReference w:type="first" r:id="rId19"/>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Helvetica-Narrow">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Response_of_SCE_to_Pet_by_PG_E.doc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620" w:leader="none"/>
        <w:tab w:val="left" w:pos="3780" w:leader="none"/>
        <w:tab w:val="left" w:pos="5040" w:leader="none"/>
        <w:tab w:val="left" w:pos="6300" w:leader="none"/>
        <w:tab w:val="left" w:pos="7650" w:leader="none"/>
      </w:tabs>
      <w:rPr/>
    </w:pPr>
    <w:r>
      <w:rPr/>
      <w:fldChar w:fldCharType="begin"/>
    </w:r>
    <w:r>
      <w:rPr/>
      <w:instrText xml:space="preserve"> FILENAME </w:instrText>
    </w:r>
    <w:r>
      <w:rPr/>
      <w:fldChar w:fldCharType="separate"/>
    </w:r>
    <w:r>
      <w:rPr/>
      <w:t>Response_of_SCE_to_Pet_by_PG_E.doc</w:t>
    </w:r>
    <w:r>
      <w:rPr/>
      <w:fldChar w:fldCharType="end"/>
    </w:r>
    <w:r>
      <w:rPr/>
      <w:tab/>
      <w:tab/>
      <w:tab/>
      <w:t xml:space="preserve">- </w:t>
    </w:r>
    <w:r>
      <w:rPr/>
      <w:fldChar w:fldCharType="begin"/>
    </w:r>
    <w:r>
      <w:rPr/>
      <w:instrText xml:space="preserve"> PAGE </w:instrText>
    </w:r>
    <w:r>
      <w:rPr/>
      <w:fldChar w:fldCharType="separate"/>
    </w:r>
    <w:r>
      <w:rPr/>
      <w:t>7</w:t>
    </w:r>
    <w:r>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 xml:space="preserve">P.O. Box </w:t>
    </w:r>
    <w:bookmarkStart w:id="16" w:name="zPOBox"/>
    <w:bookmarkEnd w:id="16"/>
    <w:r>
      <w:rPr>
        <w:sz w:val="16"/>
      </w:rPr>
      <w:t>800     2244 Walnut Grove Ave.     Rosemead, California 91770</w:t>
      <w:tab/>
    </w:r>
    <w:bookmarkStart w:id="17" w:name="zPhoneNumber"/>
    <w:bookmarkEnd w:id="17"/>
    <w:r>
      <w:rPr>
        <w:sz w:val="16"/>
      </w:rPr>
      <w:t xml:space="preserve">(626) 302-6819     Fax </w:t>
    </w:r>
    <w:bookmarkStart w:id="18" w:name="zFaxNumber"/>
    <w:bookmarkEnd w:id="18"/>
    <w:r>
      <w:rPr>
        <w:sz w:val="16"/>
      </w:rPr>
      <w:t xml:space="preserve">(626) 302-2050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0" w:end="0"/>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ab/>
        <w:t>All citations herein are to SCE’s Rule 22 unless otherwise stated.</w:t>
      </w:r>
    </w:p>
  </w:footnote>
  <w:footnote w:id="3">
    <w:p>
      <w:pPr>
        <w:pStyle w:val="FootnoteText"/>
        <w:rPr/>
      </w:pPr>
      <w:r>
        <w:rPr>
          <w:rStyle w:val="FootnoteCharacters"/>
        </w:rPr>
        <w:footnoteRef/>
      </w:r>
      <w:r>
        <w:rPr/>
        <w:tab/>
        <w:t>This is consistent with the credit requirements for an ESP performing ESP Consolidated Billing, which require that the ESP establish its creditworthiness of twice the estimated maximum monthly bill for SCE charges.  Rule 22.p.2.b.</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NewCenturySchlbk"/>
      </w:rPr>
    </w:pPr>
    <w:r>
      <w:rPr>
        <w:rFonts w:eastAsia="NewCenturySchlbk"/>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eastAsia="NewCenturySchlbk"/>
      </w:rPr>
    </w:pPr>
    <w:r>
      <w:rPr>
        <w:rFonts w:eastAsia="NewCenturySchlbk"/>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napToGrid w:val="false"/>
            <w:spacing w:before="120" w:after="0"/>
            <w:rPr/>
          </w:pPr>
          <w:r>
            <w:rPr/>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Title"/>
            <w:snapToGrid w:val="false"/>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r>
  </w:tbl>
  <w:p>
    <w:pPr>
      <w:pStyle w:val="Normal"/>
      <w:tabs>
        <w:tab w:val="clear" w:pos="720"/>
        <w:tab w:val="center" w:pos="4320" w:leader="none"/>
        <w:tab w:val="center" w:pos="8640" w:leader="none"/>
      </w:tabs>
      <w:rPr>
        <w:u w:val="single"/>
      </w:rPr>
    </w:pPr>
    <w:r>
      <w:rPr>
        <w:u w:val="sing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pacing w:before="120" w:after="0"/>
            <w:rPr>
              <w:smallCaps/>
              <w:sz w:val="20"/>
            </w:rPr>
          </w:pPr>
          <w:bookmarkStart w:id="12" w:name="zHeaderLogo"/>
          <w:bookmarkEnd w:id="12"/>
          <w:r>
            <w:rPr>
              <w:smallCaps/>
              <w:sz w:val="20"/>
            </w:rPr>
            <w:drawing>
              <wp:inline distT="0" distB="0" distL="0" distR="0">
                <wp:extent cx="1651000" cy="6223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2" t="-58" r="-22" b="-58"/>
                        <a:stretch>
                          <a:fillRect/>
                        </a:stretch>
                      </pic:blipFill>
                      <pic:spPr bwMode="auto">
                        <a:xfrm>
                          <a:off x="0" y="0"/>
                          <a:ext cx="1651000" cy="622300"/>
                        </a:xfrm>
                        <a:prstGeom prst="rect">
                          <a:avLst/>
                        </a:prstGeom>
                        <a:noFill/>
                      </pic:spPr>
                    </pic:pic>
                  </a:graphicData>
                </a:graphic>
              </wp:inline>
            </w:drawing>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Name"/>
            <w:spacing w:before="240" w:after="29"/>
            <w:ind w:hanging="0" w:start="720" w:end="0"/>
            <w:rPr/>
          </w:pPr>
          <w:bookmarkStart w:id="13" w:name="zHeaderAuthorName"/>
          <w:bookmarkEnd w:id="13"/>
          <w:r>
            <w:rPr/>
            <w:t>Jennifer M. Tsao</w:t>
          </w:r>
        </w:p>
        <w:p>
          <w:pPr>
            <w:pStyle w:val="zHeaderAuthorTitle"/>
            <w:rPr/>
          </w:pPr>
          <w:bookmarkStart w:id="14" w:name="zHeaderAuthorTitle"/>
          <w:bookmarkEnd w:id="14"/>
          <w:r>
            <w:rPr/>
            <w:t>Attorney</w:t>
          </w:r>
        </w:p>
        <w:p>
          <w:pPr>
            <w:pStyle w:val="zHeaderAuthorTitle"/>
            <w:rPr/>
          </w:pPr>
          <w:bookmarkStart w:id="15" w:name="zHeaderAuthorEmail"/>
          <w:bookmarkEnd w:id="15"/>
          <w:r>
            <w:rPr/>
            <w:t>jennifer.tsao@sce.com</w:t>
          </w:r>
        </w:p>
      </w:tc>
    </w:tr>
  </w:tbl>
  <w:p>
    <w:pPr>
      <w:pStyle w:val="Normal"/>
      <w:rPr/>
    </w:pPr>
    <w:r>
      <w:rPr/>
    </w:r>
  </w:p>
  <w:p>
    <w:pPr>
      <w:pStyle w:val="Normal"/>
      <w:tabs>
        <w:tab w:val="clear" w:pos="720"/>
        <w:tab w:val="center" w:pos="4320" w:leader="none"/>
        <w:tab w:val="center" w:pos="8640" w:leader="none"/>
      </w:tabs>
      <w:rPr>
        <w:u w:val="single"/>
      </w:rPr>
    </w:pPr>
    <w:r>
      <w:rPr>
        <w:u w:val="single"/>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center" w:pos="8640" w:leader="none"/>
      </w:tabs>
      <w:rPr>
        <w:u w:val="single"/>
      </w:rPr>
    </w:pPr>
    <w:r>
      <w:rPr>
        <w:u w:val="single"/>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rPr>
        <w:u w:val="none"/>
        <w:color w:val="0000FF"/>
      </w:rPr>
    </w:lvl>
    <w:lvl w:ilvl="1">
      <w:start w:val="1"/>
      <w:pStyle w:val="Heading2"/>
      <w:numFmt w:val="upperLetter"/>
      <w:lvlText w:val="%2."/>
      <w:lvlJc w:val="start"/>
      <w:pPr>
        <w:tabs>
          <w:tab w:val="num" w:pos="720"/>
        </w:tabs>
        <w:ind w:start="720" w:hanging="720"/>
      </w:pPr>
      <w:rPr>
        <w:u w:val="none"/>
        <w:color w:val="0000FF"/>
      </w:rPr>
    </w:lvl>
    <w:lvl w:ilvl="2">
      <w:start w:val="1"/>
      <w:pStyle w:val="Heading3"/>
      <w:numFmt w:val="decimal"/>
      <w:lvlText w:val="%3."/>
      <w:lvlJc w:val="start"/>
      <w:pPr>
        <w:tabs>
          <w:tab w:val="num" w:pos="720"/>
        </w:tabs>
        <w:ind w:start="1440" w:hanging="720"/>
      </w:pPr>
      <w:rPr>
        <w:u w:val="none"/>
        <w:color w:val="0000FF"/>
      </w:rPr>
    </w:lvl>
    <w:lvl w:ilvl="3">
      <w:start w:val="1"/>
      <w:pStyle w:val="Heading4"/>
      <w:numFmt w:val="lowerLetter"/>
      <w:lvlText w:val="%4)"/>
      <w:lvlJc w:val="start"/>
      <w:pPr>
        <w:tabs>
          <w:tab w:val="num" w:pos="720"/>
        </w:tabs>
        <w:ind w:start="2160" w:hanging="720"/>
      </w:pPr>
      <w:rPr>
        <w:u w:val="none"/>
        <w:color w:val="0000FF"/>
      </w:rPr>
    </w:lvl>
    <w:lvl w:ilvl="4">
      <w:start w:val="1"/>
      <w:pStyle w:val="Heading5"/>
      <w:numFmt w:val="decimal"/>
      <w:lvlText w:val="(%5)"/>
      <w:lvlJc w:val="start"/>
      <w:pPr>
        <w:tabs>
          <w:tab w:val="num" w:pos="720"/>
        </w:tabs>
        <w:ind w:start="2880" w:hanging="720"/>
      </w:pPr>
      <w:rPr>
        <w:u w:val="none"/>
        <w:color w:val="0000FF"/>
      </w:rPr>
    </w:lvl>
    <w:lvl w:ilvl="5">
      <w:start w:val="1"/>
      <w:pStyle w:val="Heading6"/>
      <w:numFmt w:val="lowerLetter"/>
      <w:lvlText w:val="(%6)"/>
      <w:lvlJc w:val="start"/>
      <w:pPr>
        <w:tabs>
          <w:tab w:val="num" w:pos="720"/>
        </w:tabs>
        <w:ind w:start="3600" w:hanging="720"/>
      </w:pPr>
      <w:rPr>
        <w:u w:val="none"/>
        <w:color w:val="0000FF"/>
      </w:rPr>
    </w:lvl>
    <w:lvl w:ilvl="6">
      <w:start w:val="1"/>
      <w:pStyle w:val="Heading7"/>
      <w:numFmt w:val="lowerRoman"/>
      <w:lvlText w:val="(%7)"/>
      <w:lvlJc w:val="start"/>
      <w:pPr>
        <w:tabs>
          <w:tab w:val="num" w:pos="720"/>
        </w:tabs>
        <w:ind w:start="4320" w:hanging="720"/>
      </w:pPr>
      <w:rPr>
        <w:u w:val="none"/>
        <w:color w:val="0000FF"/>
      </w:rPr>
    </w:lvl>
    <w:lvl w:ilvl="7">
      <w:start w:val="1"/>
      <w:pStyle w:val="Heading8"/>
      <w:numFmt w:val="lowerLetter"/>
      <w:lvlText w:val="(%8)"/>
      <w:lvlJc w:val="start"/>
      <w:pPr>
        <w:tabs>
          <w:tab w:val="num" w:pos="720"/>
        </w:tabs>
        <w:ind w:start="5040" w:hanging="720"/>
      </w:pPr>
      <w:rPr>
        <w:u w:val="none"/>
        <w:color w:val="0000FF"/>
      </w:rPr>
    </w:lvl>
    <w:lvl w:ilvl="8">
      <w:start w:val="1"/>
      <w:pStyle w:val="Heading9"/>
      <w:numFmt w:val="lowerRoman"/>
      <w:lvlText w:val="(%9)"/>
      <w:lvlJc w:val="start"/>
      <w:pPr>
        <w:tabs>
          <w:tab w:val="num" w:pos="720"/>
        </w:tabs>
        <w:ind w:start="5760" w:hanging="720"/>
      </w:pPr>
      <w:rPr>
        <w:u w:val="none"/>
        <w:color w:val="0000FF"/>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CenturySchlbk" w:hAnsi="NewCenturySchlbk" w:eastAsia="Times New Roman" w:cs="NewCenturySchlbk"/>
      <w:color w:val="auto"/>
      <w:sz w:val="24"/>
      <w:szCs w:val="20"/>
      <w:lang w:val="en-US" w:eastAsia="en-US" w:bidi="hi-IN"/>
    </w:rPr>
  </w:style>
  <w:style w:type="paragraph" w:styleId="Heading1">
    <w:name w:val="heading 1"/>
    <w:basedOn w:val="Normal"/>
    <w:next w:val="Heading1Text"/>
    <w:qFormat/>
    <w:pPr>
      <w:keepNext w:val="true"/>
      <w:keepLines/>
      <w:numPr>
        <w:ilvl w:val="0"/>
        <w:numId w:val="1"/>
      </w:numPr>
      <w:tabs>
        <w:tab w:val="clear" w:pos="720"/>
      </w:tabs>
      <w:spacing w:lineRule="exact" w:line="480" w:before="240" w:after="120"/>
      <w:jc w:val="center"/>
      <w:outlineLvl w:val="0"/>
    </w:pPr>
    <w:rPr>
      <w:b/>
      <w:caps/>
      <w:u w:val="single"/>
    </w:rPr>
  </w:style>
  <w:style w:type="paragraph" w:styleId="Heading2">
    <w:name w:val="heading 2"/>
    <w:basedOn w:val="Heading1"/>
    <w:next w:val="Heading2Text"/>
    <w:qFormat/>
    <w:pPr>
      <w:numPr>
        <w:ilvl w:val="1"/>
        <w:numId w:val="1"/>
      </w:numPr>
      <w:ind w:hanging="720" w:start="720" w:end="0"/>
      <w:jc w:val="start"/>
      <w:outlineLvl w:val="1"/>
    </w:pPr>
    <w:rPr>
      <w:caps w:val="false"/>
      <w:smallCaps w:val="false"/>
    </w:rPr>
  </w:style>
  <w:style w:type="paragraph" w:styleId="Heading3">
    <w:name w:val="heading 3"/>
    <w:basedOn w:val="Heading2"/>
    <w:next w:val="Heading3Text"/>
    <w:qFormat/>
    <w:pPr>
      <w:numPr>
        <w:ilvl w:val="2"/>
        <w:numId w:val="1"/>
      </w:numPr>
      <w:ind w:hanging="720" w:start="1440" w:end="0"/>
      <w:outlineLvl w:val="2"/>
    </w:pPr>
    <w:rPr/>
  </w:style>
  <w:style w:type="paragraph" w:styleId="Heading4">
    <w:name w:val="heading 4"/>
    <w:basedOn w:val="Heading2"/>
    <w:next w:val="Heading4Text"/>
    <w:qFormat/>
    <w:pPr>
      <w:numPr>
        <w:ilvl w:val="3"/>
        <w:numId w:val="1"/>
      </w:numPr>
      <w:ind w:hanging="720" w:start="2160" w:end="0"/>
      <w:outlineLvl w:val="3"/>
    </w:pPr>
    <w:rPr/>
  </w:style>
  <w:style w:type="paragraph" w:styleId="Heading5">
    <w:name w:val="heading 5"/>
    <w:basedOn w:val="Heading2"/>
    <w:next w:val="Heading5Text"/>
    <w:qFormat/>
    <w:pPr>
      <w:numPr>
        <w:ilvl w:val="4"/>
        <w:numId w:val="1"/>
      </w:numPr>
      <w:ind w:hanging="720" w:start="2880" w:end="0"/>
      <w:outlineLvl w:val="4"/>
    </w:pPr>
    <w:rPr/>
  </w:style>
  <w:style w:type="paragraph" w:styleId="Heading6">
    <w:name w:val="heading 6"/>
    <w:basedOn w:val="Heading2"/>
    <w:next w:val="Heading6Text"/>
    <w:qFormat/>
    <w:pPr>
      <w:numPr>
        <w:ilvl w:val="5"/>
        <w:numId w:val="1"/>
      </w:numPr>
      <w:ind w:hanging="720" w:start="3600" w:end="0"/>
      <w:outlineLvl w:val="5"/>
    </w:pPr>
    <w:rPr/>
  </w:style>
  <w:style w:type="paragraph" w:styleId="Heading7">
    <w:name w:val="heading 7"/>
    <w:basedOn w:val="Heading2"/>
    <w:next w:val="Heading7Text"/>
    <w:qFormat/>
    <w:pPr>
      <w:numPr>
        <w:ilvl w:val="6"/>
        <w:numId w:val="1"/>
      </w:numPr>
      <w:ind w:hanging="720" w:start="4320" w:end="0"/>
      <w:outlineLvl w:val="6"/>
    </w:pPr>
    <w:rPr/>
  </w:style>
  <w:style w:type="paragraph" w:styleId="Heading8">
    <w:name w:val="heading 8"/>
    <w:basedOn w:val="Heading2"/>
    <w:next w:val="Heading8Text"/>
    <w:qFormat/>
    <w:pPr>
      <w:numPr>
        <w:ilvl w:val="7"/>
        <w:numId w:val="1"/>
      </w:numPr>
      <w:ind w:hanging="720" w:start="5040" w:end="0"/>
      <w:outlineLvl w:val="7"/>
    </w:pPr>
    <w:rPr/>
  </w:style>
  <w:style w:type="paragraph" w:styleId="Heading9">
    <w:name w:val="heading 9"/>
    <w:basedOn w:val="Heading2"/>
    <w:next w:val="Heading9Text"/>
    <w:qFormat/>
    <w:pPr>
      <w:numPr>
        <w:ilvl w:val="8"/>
        <w:numId w:val="1"/>
      </w:numPr>
      <w:ind w:hanging="720" w:start="5760" w:end="0"/>
      <w:outlineLvl w:val="8"/>
    </w:pPr>
    <w:rPr/>
  </w:style>
  <w:style w:type="character" w:styleId="WW8Num1z0">
    <w:name w:val="WW8Num1z0"/>
    <w:qFormat/>
    <w:rPr>
      <w:color w:val="0000FF"/>
      <w:u w:val="none"/>
    </w:rPr>
  </w:style>
  <w:style w:type="character" w:styleId="WW8Num2z0">
    <w:name w:val="WW8Num2z0"/>
    <w:qFormat/>
    <w:rPr/>
  </w:style>
  <w:style w:type="character" w:styleId="DefaultParagraphFont">
    <w:name w:val="Default Paragraph Font"/>
    <w:qFormat/>
    <w:rPr/>
  </w:style>
  <w:style w:type="character" w:styleId="CommentReference">
    <w:name w:val="Comment Reference"/>
    <w:basedOn w:val="DefaultParagraphFont"/>
    <w:qFormat/>
    <w:rPr>
      <w:color w:val="0000FF"/>
      <w:u w:val="double"/>
    </w:rPr>
  </w:style>
  <w:style w:type="character" w:styleId="LineNumber">
    <w:name w:val="line number"/>
    <w:basedOn w:val="DefaultParagraphFont"/>
    <w:rPr/>
  </w:style>
  <w:style w:type="character" w:styleId="FootnoteCharacters">
    <w:name w:val="Footnote Characters"/>
    <w:basedOn w:val="DefaultParagraphFont"/>
    <w:qFormat/>
    <w:rPr>
      <w:color w:val="FF0000"/>
      <w:sz w:val="16"/>
      <w:u w:val="single"/>
      <w:vertAlign w:val="superscript"/>
    </w:rPr>
  </w:style>
  <w:style w:type="character" w:styleId="zDocDate">
    <w:name w:val="zDocDate"/>
    <w:basedOn w:val="DefaultParagraphFont"/>
    <w:qFormat/>
    <w:rPr>
      <w:rFonts w:ascii="NewCenturySchlbk" w:hAnsi="NewCenturySchlbk" w:cs="NewCenturySchlbk"/>
      <w:color w:val="0000FF"/>
      <w:sz w:val="24"/>
      <w:u w:val="non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firstLine="360" w:start="0" w:end="0"/>
      <w:jc w:val="both"/>
    </w:pPr>
    <w:rPr>
      <w:kern w:val="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Text">
    <w:name w:val="Heading 1 Text"/>
    <w:basedOn w:val="Normal"/>
    <w:qFormat/>
    <w:pPr>
      <w:spacing w:lineRule="atLeast" w:line="480"/>
      <w:ind w:firstLine="720" w:start="0" w:end="0"/>
    </w:pPr>
    <w:rPr/>
  </w:style>
  <w:style w:type="paragraph" w:styleId="Heading2Text">
    <w:name w:val="Heading 2 Text"/>
    <w:basedOn w:val="Heading1Text"/>
    <w:qFormat/>
    <w:pPr/>
    <w:rPr/>
  </w:style>
  <w:style w:type="paragraph" w:styleId="Heading3Text">
    <w:name w:val="Heading 3 Text"/>
    <w:basedOn w:val="Heading2Text"/>
    <w:qFormat/>
    <w:pPr>
      <w:ind w:firstLine="720" w:start="720" w:end="0"/>
    </w:pPr>
    <w:rPr/>
  </w:style>
  <w:style w:type="paragraph" w:styleId="Heading4Text">
    <w:name w:val="Heading 4 Text"/>
    <w:basedOn w:val="Heading2Text"/>
    <w:qFormat/>
    <w:pPr>
      <w:ind w:firstLine="720" w:start="1440" w:end="0"/>
    </w:pPr>
    <w:rPr/>
  </w:style>
  <w:style w:type="paragraph" w:styleId="Heading5Text">
    <w:name w:val="Heading 5 Text"/>
    <w:basedOn w:val="Heading2Text"/>
    <w:qFormat/>
    <w:pPr>
      <w:ind w:firstLine="720" w:start="2160" w:end="0"/>
    </w:pPr>
    <w:rPr/>
  </w:style>
  <w:style w:type="paragraph" w:styleId="Heading6Text">
    <w:name w:val="Heading 6 Text"/>
    <w:basedOn w:val="Heading2Text"/>
    <w:qFormat/>
    <w:pPr>
      <w:ind w:firstLine="720" w:start="2880" w:end="0"/>
    </w:pPr>
    <w:rPr/>
  </w:style>
  <w:style w:type="paragraph" w:styleId="Heading7Text">
    <w:name w:val="Heading 7 Text"/>
    <w:basedOn w:val="Heading2Text"/>
    <w:qFormat/>
    <w:pPr>
      <w:ind w:firstLine="720" w:start="3600" w:end="0"/>
    </w:pPr>
    <w:rPr/>
  </w:style>
  <w:style w:type="paragraph" w:styleId="Heading8Text">
    <w:name w:val="Heading 8 Text"/>
    <w:basedOn w:val="Heading2Text"/>
    <w:qFormat/>
    <w:pPr>
      <w:ind w:firstLine="720" w:start="4320" w:end="0"/>
    </w:pPr>
    <w:rPr/>
  </w:style>
  <w:style w:type="paragraph" w:styleId="Heading9Text">
    <w:name w:val="Heading 9 Text"/>
    <w:basedOn w:val="Heading2Text"/>
    <w:qFormat/>
    <w:pPr>
      <w:ind w:firstLine="720" w:start="5040" w:end="0"/>
    </w:pPr>
    <w:rPr/>
  </w:style>
  <w:style w:type="paragraph" w:styleId="FootnoteText">
    <w:name w:val="footnote text"/>
    <w:basedOn w:val="Normal"/>
    <w:pPr>
      <w:tabs>
        <w:tab w:val="clear" w:pos="720"/>
        <w:tab w:val="left" w:pos="360" w:leader="none"/>
      </w:tabs>
      <w:ind w:hanging="360" w:start="360" w:end="0"/>
    </w:pPr>
    <w:rPr>
      <w:sz w:val="20"/>
    </w:rPr>
  </w:style>
  <w:style w:type="paragraph" w:styleId="CommentText">
    <w:name w:val="Comment Text"/>
    <w:basedOn w:val="FootnoteText"/>
    <w:qFormat/>
    <w:pPr>
      <w:ind w:firstLine="720" w:start="360" w:end="0"/>
    </w:pPr>
    <w:rPr>
      <w:color w:val="0000FF"/>
    </w:rPr>
  </w:style>
  <w:style w:type="paragraph" w:styleId="TOC1">
    <w:name w:val="toc 1"/>
    <w:basedOn w:val="Normal"/>
    <w:pPr>
      <w:tabs>
        <w:tab w:val="left" w:pos="720" w:leader="none"/>
        <w:tab w:val="right" w:pos="8640" w:leader="dot"/>
      </w:tabs>
      <w:spacing w:lineRule="atLeast" w:line="240" w:before="240" w:after="0"/>
      <w:ind w:hanging="720" w:start="720" w:end="1440"/>
    </w:pPr>
    <w:rPr>
      <w:caps/>
    </w:rPr>
  </w:style>
  <w:style w:type="paragraph" w:styleId="TOC7">
    <w:name w:val="toc 7"/>
    <w:basedOn w:val="TOC1"/>
    <w:next w:val="Normal"/>
    <w:pPr>
      <w:tabs>
        <w:tab w:val="clear" w:pos="720"/>
        <w:tab w:val="left" w:pos="5040" w:leader="none"/>
        <w:tab w:val="right" w:pos="8640" w:leader="dot"/>
      </w:tabs>
      <w:ind w:hanging="720" w:start="5040" w:end="1440"/>
    </w:pPr>
    <w:rPr>
      <w:caps w:val="false"/>
      <w:smallCaps w:val="false"/>
    </w:rPr>
  </w:style>
  <w:style w:type="paragraph" w:styleId="TOC6">
    <w:name w:val="toc 6"/>
    <w:basedOn w:val="TOC1"/>
    <w:next w:val="Normal"/>
    <w:pPr>
      <w:tabs>
        <w:tab w:val="clear" w:pos="720"/>
        <w:tab w:val="left" w:pos="4320" w:leader="none"/>
        <w:tab w:val="right" w:pos="8640" w:leader="dot"/>
      </w:tabs>
      <w:ind w:hanging="720" w:start="4320" w:end="1440"/>
    </w:pPr>
    <w:rPr>
      <w:caps w:val="false"/>
      <w:smallCaps w:val="false"/>
    </w:rPr>
  </w:style>
  <w:style w:type="paragraph" w:styleId="TOC5">
    <w:name w:val="toc 5"/>
    <w:basedOn w:val="TOC1"/>
    <w:next w:val="Normal"/>
    <w:pPr>
      <w:tabs>
        <w:tab w:val="clear" w:pos="720"/>
        <w:tab w:val="left" w:pos="3600" w:leader="none"/>
        <w:tab w:val="right" w:pos="8640" w:leader="dot"/>
      </w:tabs>
      <w:ind w:hanging="720" w:start="3600" w:end="1440"/>
    </w:pPr>
    <w:rPr>
      <w:caps w:val="false"/>
      <w:smallCaps w:val="false"/>
    </w:rPr>
  </w:style>
  <w:style w:type="paragraph" w:styleId="TOC4">
    <w:name w:val="toc 4"/>
    <w:basedOn w:val="TOC1"/>
    <w:next w:val="Normal"/>
    <w:pPr>
      <w:tabs>
        <w:tab w:val="clear" w:pos="720"/>
        <w:tab w:val="left" w:pos="2880" w:leader="none"/>
        <w:tab w:val="right" w:pos="8640" w:leader="dot"/>
      </w:tabs>
      <w:ind w:hanging="720" w:start="2880" w:end="1440"/>
    </w:pPr>
    <w:rPr>
      <w:caps w:val="false"/>
      <w:smallCaps w:val="false"/>
    </w:rPr>
  </w:style>
  <w:style w:type="paragraph" w:styleId="TOC3">
    <w:name w:val="toc 3"/>
    <w:basedOn w:val="TOC1"/>
    <w:next w:val="Normal"/>
    <w:pPr>
      <w:tabs>
        <w:tab w:val="clear" w:pos="720"/>
        <w:tab w:val="left" w:pos="2160" w:leader="none"/>
        <w:tab w:val="right" w:pos="8640" w:leader="dot"/>
      </w:tabs>
      <w:ind w:hanging="720" w:start="2160" w:end="1440"/>
    </w:pPr>
    <w:rPr>
      <w:caps w:val="false"/>
      <w:smallCaps w:val="false"/>
    </w:rPr>
  </w:style>
  <w:style w:type="paragraph" w:styleId="TOC2">
    <w:name w:val="toc 2"/>
    <w:basedOn w:val="TOC1"/>
    <w:next w:val="Normal"/>
    <w:pPr>
      <w:tabs>
        <w:tab w:val="clear" w:pos="720"/>
        <w:tab w:val="left" w:pos="1440" w:leader="none"/>
        <w:tab w:val="right" w:pos="8640" w:leader="dot"/>
      </w:tabs>
      <w:ind w:hanging="720" w:start="1440" w:end="1440"/>
    </w:pPr>
    <w:rPr>
      <w:caps w:val="false"/>
      <w:smallCaps w:val="false"/>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pPr>
      <w:tabs>
        <w:tab w:val="left" w:pos="720" w:leader="none"/>
        <w:tab w:val="right" w:pos="8640" w:leader="dot"/>
      </w:tabs>
      <w:spacing w:lineRule="exact" w:line="240"/>
      <w:ind w:hanging="0" w:start="360" w:end="1440"/>
    </w:pPr>
    <w:rPr/>
  </w:style>
  <w:style w:type="paragraph" w:styleId="Index2">
    <w:name w:val="index 2"/>
    <w:basedOn w:val="Normal"/>
    <w:pPr>
      <w:keepNext w:val="true"/>
      <w:keepLines/>
      <w:tabs>
        <w:tab w:val="clear" w:pos="720"/>
        <w:tab w:val="right" w:pos="8640" w:leader="dot"/>
      </w:tabs>
      <w:spacing w:lineRule="atLeast" w:line="240" w:before="120" w:after="0"/>
      <w:ind w:hanging="360" w:start="360" w:end="1440"/>
    </w:pPr>
    <w:rPr/>
  </w:style>
  <w:style w:type="paragraph" w:styleId="Index1">
    <w:name w:val="index 1"/>
    <w:basedOn w:val="Normal"/>
    <w:next w:val="Index2"/>
    <w:pPr>
      <w:keepNext w:val="true"/>
      <w:keepLines/>
      <w:spacing w:lineRule="atLeast" w:line="240" w:before="240" w:after="0"/>
      <w:jc w:val="center"/>
    </w:pPr>
    <w:rPr>
      <w:b/>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720" w:end="0"/>
    </w:pPr>
    <w:rPr>
      <w:sz w:val="12"/>
    </w:rPr>
  </w:style>
  <w:style w:type="paragraph" w:styleId="Footer">
    <w:name w:val="footer"/>
    <w:basedOn w:val="Header"/>
    <w:pPr>
      <w:tabs>
        <w:tab w:val="clear" w:pos="720"/>
        <w:tab w:val="left" w:pos="1620" w:leader="none"/>
        <w:tab w:val="left" w:pos="3780" w:leader="none"/>
        <w:tab w:val="left" w:pos="6300" w:leader="none"/>
        <w:tab w:val="left" w:pos="7650" w:leader="none"/>
      </w:tabs>
      <w:ind w:hanging="0" w:start="288" w:end="0"/>
    </w:pPr>
    <w:rPr>
      <w:color w:val="808080"/>
      <w:spacing w:val="-1"/>
      <w:sz w:val="18"/>
    </w:rPr>
  </w:style>
  <w:style w:type="paragraph" w:styleId="NormalIndent">
    <w:name w:val="Normal Indent"/>
    <w:basedOn w:val="Normal"/>
    <w:qFormat/>
    <w:pPr>
      <w:ind w:firstLine="1440" w:start="0" w:end="0"/>
    </w:pPr>
    <w:rPr/>
  </w:style>
  <w:style w:type="paragraph" w:styleId="ListBullet">
    <w:name w:val="List Bullet"/>
    <w:basedOn w:val="Normal"/>
    <w:pPr>
      <w:ind w:hanging="720" w:start="720" w:end="0"/>
    </w:pPr>
    <w:rPr/>
  </w:style>
  <w:style w:type="paragraph" w:styleId="ListBullet5">
    <w:name w:val="List Bullet 5"/>
    <w:basedOn w:val="ListBullet"/>
    <w:pPr>
      <w:ind w:hanging="720" w:start="3600" w:end="0"/>
    </w:pPr>
    <w:rPr/>
  </w:style>
  <w:style w:type="paragraph" w:styleId="List7">
    <w:name w:val="List 7"/>
    <w:basedOn w:val="ListBullet"/>
    <w:qFormat/>
    <w:pPr>
      <w:ind w:hanging="720" w:start="5040" w:end="0"/>
    </w:pPr>
    <w:rPr/>
  </w:style>
  <w:style w:type="paragraph" w:styleId="List6">
    <w:name w:val="List 6"/>
    <w:basedOn w:val="ListBullet"/>
    <w:qFormat/>
    <w:pPr>
      <w:ind w:hanging="720" w:start="4320" w:end="0"/>
    </w:pPr>
    <w:rPr/>
  </w:style>
  <w:style w:type="paragraph" w:styleId="LetterText">
    <w:name w:val="Letter Text"/>
    <w:basedOn w:val="Normal"/>
    <w:qFormat/>
    <w:pPr>
      <w:spacing w:before="240" w:after="0"/>
      <w:ind w:firstLine="1440" w:start="0" w:end="0"/>
    </w:pPr>
    <w:rPr/>
  </w:style>
  <w:style w:type="paragraph" w:styleId="Interrogatory1">
    <w:name w:val="Interrogatory 1"/>
    <w:basedOn w:val="Normal"/>
    <w:next w:val="Interrogatory1Text"/>
    <w:qFormat/>
    <w:pPr>
      <w:keepNext w:val="true"/>
      <w:keepLines/>
      <w:spacing w:before="240" w:after="0"/>
    </w:pPr>
    <w:rPr>
      <w:b/>
      <w:u w:val="single"/>
    </w:rPr>
  </w:style>
  <w:style w:type="paragraph" w:styleId="Interrogatory1Text">
    <w:name w:val="Interrogatory 1 Text"/>
    <w:basedOn w:val="Normal"/>
    <w:qFormat/>
    <w:pPr>
      <w:spacing w:lineRule="exact" w:line="480"/>
      <w:ind w:firstLine="720" w:start="0" w:end="0"/>
    </w:pPr>
    <w:rPr/>
  </w:style>
  <w:style w:type="paragraph" w:styleId="ListBullet2">
    <w:name w:val="List Bullet 2"/>
    <w:basedOn w:val="ListBullet"/>
    <w:pPr>
      <w:ind w:hanging="720" w:start="1440" w:end="0"/>
    </w:pPr>
    <w:rPr/>
  </w:style>
  <w:style w:type="paragraph" w:styleId="ListBullet3">
    <w:name w:val="List Bullet 3"/>
    <w:basedOn w:val="ListBullet"/>
    <w:pPr>
      <w:ind w:hanging="720" w:start="2160" w:end="0"/>
    </w:pPr>
    <w:rPr/>
  </w:style>
  <w:style w:type="paragraph" w:styleId="ListBullet4">
    <w:name w:val="List Bullet 4"/>
    <w:basedOn w:val="ListBullet"/>
    <w:pPr>
      <w:ind w:hanging="720" w:start="2880" w:end="0"/>
    </w:pPr>
    <w:rPr/>
  </w:style>
  <w:style w:type="paragraph" w:styleId="Interrogatory2">
    <w:name w:val="Interrogatory 2"/>
    <w:basedOn w:val="Interrogatory1"/>
    <w:next w:val="Interrogatory2Text"/>
    <w:qFormat/>
    <w:pPr/>
    <w:rPr/>
  </w:style>
  <w:style w:type="paragraph" w:styleId="Interrogatory2Text">
    <w:name w:val="Interrogatory 2 Text"/>
    <w:basedOn w:val="Interrogatory1Text"/>
    <w:qFormat/>
    <w:pPr/>
    <w:rPr/>
  </w:style>
  <w:style w:type="paragraph" w:styleId="Interrogatory3">
    <w:name w:val="Interrogatory 3"/>
    <w:basedOn w:val="Interrogatory1"/>
    <w:next w:val="Interrogatory3Text"/>
    <w:qFormat/>
    <w:pPr/>
    <w:rPr/>
  </w:style>
  <w:style w:type="paragraph" w:styleId="Interrogatory3Text">
    <w:name w:val="Interrogatory 3 Text"/>
    <w:basedOn w:val="Interrogatory1Text"/>
    <w:qFormat/>
    <w:pPr/>
    <w:rPr/>
  </w:style>
  <w:style w:type="paragraph" w:styleId="Interrogatory4">
    <w:name w:val="Interrogatory 4"/>
    <w:basedOn w:val="Interrogatory1"/>
    <w:next w:val="Interrogatory4Text"/>
    <w:qFormat/>
    <w:pPr/>
    <w:rPr/>
  </w:style>
  <w:style w:type="paragraph" w:styleId="Interrogatory4Text">
    <w:name w:val="Interrogatory 4 Text"/>
    <w:basedOn w:val="Interrogatory1Text"/>
    <w:qFormat/>
    <w:pPr/>
    <w:rPr/>
  </w:style>
  <w:style w:type="paragraph" w:styleId="Interrogatory5">
    <w:name w:val="Interrogatory 5"/>
    <w:basedOn w:val="Interrogatory1"/>
    <w:next w:val="Interrogatory5Text"/>
    <w:qFormat/>
    <w:pPr/>
    <w:rPr/>
  </w:style>
  <w:style w:type="paragraph" w:styleId="Interrogatory5Text">
    <w:name w:val="Interrogatory 5 Text"/>
    <w:basedOn w:val="Interrogatory1Text"/>
    <w:qFormat/>
    <w:pPr/>
    <w:rPr/>
  </w:style>
  <w:style w:type="paragraph" w:styleId="Interrogatory6">
    <w:name w:val="Interrogatory 6"/>
    <w:basedOn w:val="Interrogatory1"/>
    <w:next w:val="Interrogatory6Text"/>
    <w:qFormat/>
    <w:pPr/>
    <w:rPr/>
  </w:style>
  <w:style w:type="paragraph" w:styleId="Interrogatory6Text">
    <w:name w:val="Interrogatory 6 Text"/>
    <w:basedOn w:val="Interrogatory1Text"/>
    <w:qFormat/>
    <w:pPr/>
    <w:rPr/>
  </w:style>
  <w:style w:type="paragraph" w:styleId="Interrogatory7">
    <w:name w:val="Interrogatory 7"/>
    <w:basedOn w:val="Interrogatory1"/>
    <w:next w:val="Interrogatory7Text"/>
    <w:qFormat/>
    <w:pPr/>
    <w:rPr/>
  </w:style>
  <w:style w:type="paragraph" w:styleId="Interrogatory7Text">
    <w:name w:val="Interrogatory 7 Text"/>
    <w:basedOn w:val="Interrogatory1Text"/>
    <w:qFormat/>
    <w:pPr/>
    <w:rPr/>
  </w:style>
  <w:style w:type="paragraph" w:styleId="Interrogatory8">
    <w:name w:val="Interrogatory 8"/>
    <w:basedOn w:val="Interrogatory1"/>
    <w:next w:val="Interrogatory8Text"/>
    <w:qFormat/>
    <w:pPr/>
    <w:rPr/>
  </w:style>
  <w:style w:type="paragraph" w:styleId="Interrogatory8Text">
    <w:name w:val="Interrogatory 8 Text"/>
    <w:basedOn w:val="Interrogatory1Text"/>
    <w:qFormat/>
    <w:pPr/>
    <w:rPr/>
  </w:style>
  <w:style w:type="paragraph" w:styleId="Quote1">
    <w:name w:val="Quote 1"/>
    <w:basedOn w:val="Normal"/>
    <w:qFormat/>
    <w:pPr>
      <w:spacing w:before="240" w:after="0"/>
      <w:ind w:hanging="0" w:start="1440" w:end="1440"/>
    </w:pPr>
    <w:rPr/>
  </w:style>
  <w:style w:type="paragraph" w:styleId="Quote2">
    <w:name w:val="Quote 2"/>
    <w:basedOn w:val="Quote1"/>
    <w:qFormat/>
    <w:pPr>
      <w:ind w:hanging="0" w:start="2160" w:end="2160"/>
    </w:pPr>
    <w:rPr/>
  </w:style>
  <w:style w:type="paragraph" w:styleId="Quote3">
    <w:name w:val="Quote 3"/>
    <w:basedOn w:val="Quote2"/>
    <w:qFormat/>
    <w:pPr>
      <w:ind w:hanging="0" w:start="2880" w:end="2880"/>
    </w:pPr>
    <w:rPr/>
  </w:style>
  <w:style w:type="paragraph" w:styleId="Quote4">
    <w:name w:val="Quote 4"/>
    <w:basedOn w:val="Quote2"/>
    <w:qFormat/>
    <w:pPr>
      <w:ind w:hanging="0" w:start="3600" w:end="3600"/>
    </w:pPr>
    <w:rPr/>
  </w:style>
  <w:style w:type="paragraph" w:styleId="Quote5">
    <w:name w:val="Quote 5"/>
    <w:basedOn w:val="Quote2"/>
    <w:qFormat/>
    <w:pPr>
      <w:ind w:hanging="0" w:start="4320" w:end="4320"/>
    </w:pPr>
    <w:rPr/>
  </w:style>
  <w:style w:type="paragraph" w:styleId="Quote6">
    <w:name w:val="Quote 6"/>
    <w:basedOn w:val="Quote2"/>
    <w:qFormat/>
    <w:pPr>
      <w:ind w:hanging="0" w:start="4320" w:end="4320"/>
    </w:pPr>
    <w:rPr/>
  </w:style>
  <w:style w:type="paragraph" w:styleId="Quote7">
    <w:name w:val="Quote 7"/>
    <w:basedOn w:val="Quote2"/>
    <w:qFormat/>
    <w:pPr>
      <w:ind w:hanging="0" w:start="4320" w:end="4320"/>
    </w:pPr>
    <w:rPr/>
  </w:style>
  <w:style w:type="paragraph" w:styleId="QuoteFootnote">
    <w:name w:val="Quote Footnote"/>
    <w:basedOn w:val="Normal"/>
    <w:qFormat/>
    <w:pPr>
      <w:spacing w:lineRule="atLeast" w:line="240"/>
      <w:ind w:hanging="0" w:start="1440" w:end="0"/>
    </w:pPr>
    <w:rPr/>
  </w:style>
  <w:style w:type="paragraph" w:styleId="MemoText">
    <w:name w:val="Memo Text"/>
    <w:basedOn w:val="Normal"/>
    <w:qFormat/>
    <w:pPr>
      <w:spacing w:before="240" w:after="0"/>
      <w:ind w:firstLine="1440" w:start="0" w:end="0"/>
    </w:pPr>
    <w:rPr/>
  </w:style>
  <w:style w:type="paragraph" w:styleId="BriefText">
    <w:name w:val="Brief Text"/>
    <w:basedOn w:val="Normal"/>
    <w:qFormat/>
    <w:pPr>
      <w:spacing w:lineRule="exact" w:line="480"/>
    </w:pPr>
    <w:rPr/>
  </w:style>
  <w:style w:type="paragraph" w:styleId="PleadingText">
    <w:name w:val="Pleading Text"/>
    <w:basedOn w:val="Normal"/>
    <w:qFormat/>
    <w:pPr>
      <w:spacing w:lineRule="exact" w:line="480"/>
    </w:pPr>
    <w:rPr/>
  </w:style>
  <w:style w:type="paragraph" w:styleId="Quote8">
    <w:name w:val="Quote 8"/>
    <w:basedOn w:val="Quote2"/>
    <w:qFormat/>
    <w:pPr>
      <w:ind w:hanging="0" w:start="4320" w:end="4320"/>
    </w:pPr>
    <w:rPr/>
  </w:style>
  <w:style w:type="paragraph" w:styleId="Quote9">
    <w:name w:val="Quote 9"/>
    <w:basedOn w:val="Quote2"/>
    <w:qFormat/>
    <w:pPr>
      <w:ind w:hanging="0" w:start="4320" w:end="4320"/>
    </w:pPr>
    <w:rPr/>
  </w:style>
  <w:style w:type="paragraph" w:styleId="PlainText">
    <w:name w:val="Plain Text"/>
    <w:basedOn w:val="Normal"/>
    <w:qFormat/>
    <w:pPr/>
    <w:rPr/>
  </w:style>
  <w:style w:type="paragraph" w:styleId="Date">
    <w:name w:val="Date"/>
    <w:basedOn w:val="Normal"/>
    <w:next w:val="Normal"/>
    <w:qFormat/>
    <w:pPr>
      <w:spacing w:lineRule="exact" w:line="480" w:before="480" w:after="0"/>
    </w:pPr>
    <w:rPr/>
  </w:style>
  <w:style w:type="paragraph" w:styleId="InsideAddress">
    <w:name w:val="Inside Address"/>
    <w:basedOn w:val="Normal"/>
    <w:qFormat/>
    <w:pPr>
      <w:spacing w:lineRule="exact" w:line="480"/>
    </w:pPr>
    <w:rPr>
      <w:color w:val="FF0000"/>
    </w:rPr>
  </w:style>
  <w:style w:type="paragraph" w:styleId="Salutation">
    <w:name w:val="Salutation"/>
    <w:basedOn w:val="Normal"/>
    <w:next w:val="Re"/>
    <w:qFormat/>
    <w:pPr>
      <w:spacing w:before="240" w:after="0"/>
    </w:pPr>
    <w:rPr/>
  </w:style>
  <w:style w:type="paragraph" w:styleId="Re">
    <w:name w:val="Re:"/>
    <w:basedOn w:val="Normal"/>
    <w:next w:val="Normal"/>
    <w:qFormat/>
    <w:pPr>
      <w:spacing w:before="240" w:after="0"/>
      <w:ind w:hanging="0" w:start="720" w:end="0"/>
    </w:pPr>
    <w:rPr>
      <w:caps/>
    </w:rPr>
  </w:style>
  <w:style w:type="paragraph" w:styleId="Closing">
    <w:name w:val="Closing"/>
    <w:basedOn w:val="Normal"/>
    <w:qFormat/>
    <w:pPr>
      <w:keepNext w:val="true"/>
      <w:spacing w:before="480" w:after="0"/>
      <w:ind w:hanging="0" w:start="3960" w:end="0"/>
    </w:pPr>
    <w:rPr/>
  </w:style>
  <w:style w:type="paragraph" w:styleId="Closing2">
    <w:name w:val="Closing2"/>
    <w:basedOn w:val="Closing"/>
    <w:qFormat/>
    <w:pPr>
      <w:tabs>
        <w:tab w:val="clear" w:pos="720"/>
        <w:tab w:val="left" w:pos="3960" w:leader="none"/>
        <w:tab w:val="right" w:pos="8640" w:leader="underscore"/>
      </w:tabs>
      <w:ind w:hanging="720" w:start="3960" w:end="0"/>
    </w:pPr>
    <w:rPr/>
  </w:style>
  <w:style w:type="paragraph" w:styleId="cc">
    <w:name w:val="cc:"/>
    <w:basedOn w:val="Normal"/>
    <w:next w:val="Normal"/>
    <w:qFormat/>
    <w:pPr>
      <w:spacing w:lineRule="atLeast" w:line="480" w:before="240" w:after="0"/>
      <w:ind w:hanging="446" w:start="446" w:end="0"/>
    </w:pPr>
    <w:rPr/>
  </w:style>
  <w:style w:type="paragraph" w:styleId="heading11">
    <w:name w:val="heading 1+"/>
    <w:basedOn w:val="Heading1"/>
    <w:qFormat/>
    <w:pPr>
      <w:numPr>
        <w:ilvl w:val="0"/>
        <w:numId w:val="0"/>
      </w:numPr>
      <w:spacing w:before="0" w:after="0"/>
      <w:ind w:hanging="0" w:start="0" w:end="0"/>
      <w:outlineLvl w:val="9"/>
    </w:pPr>
    <w:rPr>
      <w:caps w:val="false"/>
      <w:smallCaps w:val="false"/>
    </w:rPr>
  </w:style>
  <w:style w:type="paragraph" w:styleId="zCaption">
    <w:name w:val="zCaption"/>
    <w:basedOn w:val="Normal"/>
    <w:qFormat/>
    <w:pPr/>
    <w:rPr/>
  </w:style>
  <w:style w:type="paragraph" w:styleId="zAppNo">
    <w:name w:val="zAppNo"/>
    <w:basedOn w:val="Normal"/>
    <w:qFormat/>
    <w:pPr>
      <w:spacing w:lineRule="atLeast" w:line="240" w:before="240" w:after="0"/>
      <w:jc w:val="center"/>
    </w:pPr>
    <w:rPr/>
  </w:style>
  <w:style w:type="paragraph" w:styleId="header2">
    <w:name w:val="header2"/>
    <w:basedOn w:val="Normal"/>
    <w:qFormat/>
    <w:pPr>
      <w:tabs>
        <w:tab w:val="clear" w:pos="720"/>
        <w:tab w:val="center" w:pos="4320" w:leader="none"/>
        <w:tab w:val="center" w:pos="8640" w:leader="none"/>
      </w:tabs>
      <w:spacing w:lineRule="atLeast" w:line="240"/>
    </w:pPr>
    <w:rPr>
      <w:u w:val="single"/>
    </w:rPr>
  </w:style>
  <w:style w:type="paragraph" w:styleId="zAttorneyNames">
    <w:name w:val="zAttorney Names"/>
    <w:basedOn w:val="Normal"/>
    <w:qFormat/>
    <w:pPr>
      <w:keepNext w:val="true"/>
      <w:keepLines/>
      <w:ind w:hanging="0" w:start="3600" w:end="0"/>
    </w:pPr>
    <w:rPr>
      <w:color w:val="FF00FF"/>
    </w:rPr>
  </w:style>
  <w:style w:type="paragraph" w:styleId="zDate">
    <w:name w:val="zDate"/>
    <w:basedOn w:val="Normal"/>
    <w:qFormat/>
    <w:pPr>
      <w:spacing w:lineRule="exact" w:line="480" w:before="240" w:after="0"/>
    </w:pPr>
    <w:rPr>
      <w:color w:val="0000FF"/>
    </w:rPr>
  </w:style>
  <w:style w:type="paragraph" w:styleId="zTitle1">
    <w:name w:val="zTitle1"/>
    <w:basedOn w:val="Normal"/>
    <w:next w:val="Normal"/>
    <w:qFormat/>
    <w:pPr>
      <w:spacing w:lineRule="atLeast" w:line="240" w:before="240" w:after="576"/>
      <w:jc w:val="center"/>
    </w:pPr>
    <w:rPr>
      <w:b/>
      <w:i/>
      <w:color w:val="FF0000"/>
      <w:sz w:val="28"/>
    </w:rPr>
  </w:style>
  <w:style w:type="paragraph" w:styleId="zAttorney">
    <w:name w:val="zAttorney"/>
    <w:basedOn w:val="Normal"/>
    <w:qFormat/>
    <w:pPr>
      <w:spacing w:lineRule="atLeast" w:line="240" w:before="173" w:after="0"/>
      <w:ind w:hanging="0" w:start="0" w:end="3600"/>
    </w:pPr>
    <w:rPr>
      <w:sz w:val="20"/>
    </w:rPr>
  </w:style>
  <w:style w:type="paragraph" w:styleId="zEdisonAddress2">
    <w:name w:val="zEdison Address2"/>
    <w:basedOn w:val="Normal"/>
    <w:qFormat/>
    <w:pPr>
      <w:keepNext w:val="true"/>
      <w:keepLines/>
      <w:spacing w:before="240" w:after="0"/>
    </w:pPr>
    <w:rPr/>
  </w:style>
  <w:style w:type="paragraph" w:styleId="zHeader">
    <w:name w:val="zHeader"/>
    <w:basedOn w:val="Normal"/>
    <w:qFormat/>
    <w:pPr>
      <w:spacing w:lineRule="exact" w:line="480" w:before="0" w:after="480"/>
      <w:jc w:val="center"/>
    </w:pPr>
    <w:rPr>
      <w:b/>
    </w:rPr>
  </w:style>
  <w:style w:type="paragraph" w:styleId="zClosing">
    <w:name w:val="zClosing"/>
    <w:basedOn w:val="Normal"/>
    <w:qFormat/>
    <w:pPr>
      <w:keepNext w:val="true"/>
      <w:keepLines/>
      <w:spacing w:before="1080" w:after="0"/>
      <w:ind w:hanging="0" w:start="3960" w:end="0"/>
    </w:pPr>
    <w:rPr/>
  </w:style>
  <w:style w:type="paragraph" w:styleId="zParen">
    <w:name w:val="zParen"/>
    <w:basedOn w:val="Normal"/>
    <w:qFormat/>
    <w:pPr>
      <w:spacing w:lineRule="atLeast" w:line="240"/>
    </w:pPr>
    <w:rPr/>
  </w:style>
  <w:style w:type="paragraph" w:styleId="zBriefFooter">
    <w:name w:val="zBriefFooter"/>
    <w:basedOn w:val="Normal"/>
    <w:qFormat/>
    <w:pPr>
      <w:tabs>
        <w:tab w:val="clear" w:pos="720"/>
        <w:tab w:val="left" w:pos="5040" w:leader="none"/>
      </w:tabs>
    </w:pPr>
    <w:rPr>
      <w:sz w:val="16"/>
    </w:rPr>
  </w:style>
  <w:style w:type="paragraph" w:styleId="zDate2">
    <w:name w:val="zDate2"/>
    <w:basedOn w:val="Normal"/>
    <w:qFormat/>
    <w:pPr>
      <w:spacing w:before="480" w:after="0"/>
    </w:pPr>
    <w:rPr/>
  </w:style>
  <w:style w:type="paragraph" w:styleId="zCaptionSeparator">
    <w:name w:val="zCaption Separator"/>
    <w:basedOn w:val="Normal"/>
    <w:next w:val="zCaption"/>
    <w:qFormat/>
    <w:pPr>
      <w:pBdr>
        <w:bottom w:val="single" w:sz="6" w:space="1" w:color="000000"/>
      </w:pBdr>
    </w:pPr>
    <w:rPr/>
  </w:style>
  <w:style w:type="paragraph" w:styleId="Enclosures">
    <w:name w:val="Enclosures"/>
    <w:basedOn w:val="Normal"/>
    <w:qFormat/>
    <w:pPr>
      <w:spacing w:lineRule="atLeast" w:line="240"/>
    </w:pPr>
    <w:rPr/>
  </w:style>
  <w:style w:type="paragraph" w:styleId="zLine-nums">
    <w:name w:val="zLine-nums"/>
    <w:basedOn w:val="Normal"/>
    <w:qFormat/>
    <w:pPr>
      <w:spacing w:lineRule="exact" w:line="480"/>
      <w:jc w:val="end"/>
    </w:pPr>
    <w:rPr/>
  </w:style>
  <w:style w:type="paragraph" w:styleId="zLine-nums2">
    <w:name w:val="zLine-nums 2"/>
    <w:basedOn w:val="Normal"/>
    <w:qFormat/>
    <w:pPr>
      <w:spacing w:lineRule="atLeast" w:line="240"/>
    </w:pPr>
    <w:rPr/>
  </w:style>
  <w:style w:type="paragraph" w:styleId="zLine-nums3">
    <w:name w:val="zLine-nums 3"/>
    <w:basedOn w:val="Normal"/>
    <w:qFormat/>
    <w:pPr/>
    <w:rPr/>
  </w:style>
  <w:style w:type="paragraph" w:styleId="InterrogResponse">
    <w:name w:val="Interrog Response"/>
    <w:basedOn w:val="Normal"/>
    <w:qFormat/>
    <w:pPr>
      <w:spacing w:lineRule="exact" w:line="480"/>
    </w:pPr>
    <w:rPr>
      <w:b/>
    </w:rPr>
  </w:style>
  <w:style w:type="paragraph" w:styleId="Interrogatory">
    <w:name w:val="Interrogatory"/>
    <w:basedOn w:val="Normal"/>
    <w:next w:val="Heading1Text"/>
    <w:qFormat/>
    <w:pPr>
      <w:spacing w:lineRule="exact" w:line="480"/>
    </w:pPr>
    <w:rPr>
      <w:b/>
    </w:rPr>
  </w:style>
  <w:style w:type="paragraph" w:styleId="zAttorneysForCOSPage">
    <w:name w:val="zAttorneysForCOSPage"/>
    <w:basedOn w:val="Normal"/>
    <w:qFormat/>
    <w:pPr>
      <w:keepNext w:val="true"/>
      <w:keepLines/>
      <w:spacing w:before="480" w:after="0"/>
      <w:ind w:hanging="0" w:start="3600" w:end="0"/>
    </w:pPr>
    <w:rPr/>
  </w:style>
  <w:style w:type="paragraph" w:styleId="zEdisonAddressCOSPage">
    <w:name w:val="zEdisonAddressCOSPage"/>
    <w:basedOn w:val="Normal"/>
    <w:qFormat/>
    <w:pPr>
      <w:keepNext w:val="true"/>
      <w:keepLines/>
      <w:spacing w:before="240" w:after="0"/>
      <w:ind w:hanging="0" w:start="4320" w:end="0"/>
    </w:pPr>
    <w:rPr/>
  </w:style>
  <w:style w:type="paragraph" w:styleId="zDefendent">
    <w:name w:val="zDefendent"/>
    <w:basedOn w:val="Normal"/>
    <w:qFormat/>
    <w:pPr>
      <w:spacing w:lineRule="atLeast" w:line="240" w:before="240" w:after="280"/>
      <w:ind w:hanging="0" w:start="1440" w:end="0"/>
    </w:pPr>
    <w:rPr/>
  </w:style>
  <w:style w:type="paragraph" w:styleId="zEdisonAddress">
    <w:name w:val="zEdison Address"/>
    <w:basedOn w:val="Normal"/>
    <w:qFormat/>
    <w:pPr>
      <w:spacing w:before="240" w:after="0"/>
      <w:ind w:hanging="0" w:start="5040" w:end="0"/>
    </w:pPr>
    <w:rPr/>
  </w:style>
  <w:style w:type="paragraph" w:styleId="CertificateText">
    <w:name w:val="Certificate Text"/>
    <w:basedOn w:val="LetterText"/>
    <w:qFormat/>
    <w:pPr>
      <w:spacing w:lineRule="atLeast" w:line="480" w:before="0" w:after="240"/>
      <w:ind w:firstLine="720" w:start="0" w:end="0"/>
    </w:pPr>
    <w:rPr/>
  </w:style>
  <w:style w:type="paragraph" w:styleId="zTitle">
    <w:name w:val="zTitle"/>
    <w:basedOn w:val="Normal"/>
    <w:qFormat/>
    <w:pPr>
      <w:spacing w:lineRule="atLeast" w:line="360" w:before="0" w:after="720"/>
      <w:jc w:val="center"/>
    </w:pPr>
    <w:rPr>
      <w:b/>
      <w:caps/>
      <w:color w:val="FF00FF"/>
      <w:u w:val="single"/>
    </w:rPr>
  </w:style>
  <w:style w:type="paragraph" w:styleId="zTOCHeader">
    <w:name w:val="zTOCHeader"/>
    <w:basedOn w:val="Normal"/>
    <w:qFormat/>
    <w:pPr/>
    <w:rPr>
      <w:u w:val="single"/>
    </w:rPr>
  </w:style>
  <w:style w:type="paragraph" w:styleId="zPhone">
    <w:name w:val="zPhone"/>
    <w:basedOn w:val="Normal"/>
    <w:qFormat/>
    <w:pPr>
      <w:keepNext w:val="true"/>
      <w:ind w:hanging="0" w:start="4320" w:end="0"/>
    </w:pPr>
    <w:rPr>
      <w:color w:val="0000FF"/>
    </w:rPr>
  </w:style>
  <w:style w:type="paragraph" w:styleId="zAuthorName">
    <w:name w:val="zAuthorName"/>
    <w:basedOn w:val="Normal"/>
    <w:qFormat/>
    <w:pPr/>
    <w:rPr>
      <w:color w:val="0000FF"/>
    </w:rPr>
  </w:style>
  <w:style w:type="paragraph" w:styleId="zLetterText">
    <w:name w:val="zLetter Text"/>
    <w:basedOn w:val="Normal"/>
    <w:qFormat/>
    <w:pPr>
      <w:spacing w:lineRule="atLeast" w:line="240" w:before="240" w:after="0"/>
    </w:pPr>
    <w:rPr/>
  </w:style>
  <w:style w:type="paragraph" w:styleId="footnoteseparator">
    <w:name w:val="footnote separator"/>
    <w:basedOn w:val="Normal"/>
    <w:qFormat/>
    <w:pPr>
      <w:spacing w:lineRule="exact" w:line="240" w:before="0" w:after="240"/>
    </w:pPr>
    <w:rPr/>
  </w:style>
  <w:style w:type="paragraph" w:styleId="zAttorneysFor">
    <w:name w:val="zAttorneysFor"/>
    <w:basedOn w:val="Normal"/>
    <w:next w:val="zEdisonAddress"/>
    <w:qFormat/>
    <w:pPr>
      <w:keepNext w:val="true"/>
      <w:spacing w:before="480" w:after="0"/>
      <w:ind w:hanging="0" w:start="3600" w:end="0"/>
    </w:pPr>
    <w:rPr/>
  </w:style>
  <w:style w:type="paragraph" w:styleId="zEdisonAddressTitlePage">
    <w:name w:val="zEdisonAddressTitlePage"/>
    <w:basedOn w:val="Normal"/>
    <w:qFormat/>
    <w:pPr>
      <w:keepNext w:val="true"/>
      <w:keepLines/>
      <w:spacing w:before="240" w:after="0"/>
      <w:ind w:hanging="0" w:start="4320" w:end="0"/>
    </w:pPr>
    <w:rPr/>
  </w:style>
  <w:style w:type="paragraph" w:styleId="zAttorneysForTitlePage">
    <w:name w:val="zAttorneysForTitlePage"/>
    <w:basedOn w:val="Normal"/>
    <w:qFormat/>
    <w:pPr>
      <w:keepNext w:val="true"/>
      <w:keepLines/>
      <w:spacing w:before="120" w:after="0"/>
      <w:ind w:hanging="0" w:start="3600" w:end="0"/>
    </w:pPr>
    <w:rPr/>
  </w:style>
  <w:style w:type="paragraph" w:styleId="zEdisonAddress1">
    <w:name w:val="zEdisonAddress"/>
    <w:basedOn w:val="Normal"/>
    <w:qFormat/>
    <w:pPr>
      <w:spacing w:lineRule="exact" w:line="240"/>
    </w:pPr>
    <w:rPr>
      <w:rFonts w:ascii="Times" w:hAnsi="Times" w:cs="Times"/>
      <w:sz w:val="20"/>
    </w:rPr>
  </w:style>
  <w:style w:type="paragraph" w:styleId="zAttorneysFor1">
    <w:name w:val="zAttorneys For"/>
    <w:basedOn w:val="zEdisonAddress1"/>
    <w:qFormat/>
    <w:pPr>
      <w:spacing w:before="240" w:after="0"/>
    </w:pPr>
    <w:rPr/>
  </w:style>
  <w:style w:type="paragraph" w:styleId="zEdisonAddressCOSPage1">
    <w:name w:val="zEdison Address COS Page"/>
    <w:basedOn w:val="Normal"/>
    <w:qFormat/>
    <w:pPr>
      <w:keepNext w:val="true"/>
      <w:keepLines/>
      <w:ind w:hanging="0" w:start="4320" w:end="0"/>
    </w:pPr>
    <w:rPr/>
  </w:style>
  <w:style w:type="paragraph" w:styleId="zPhoneCOSPage">
    <w:name w:val="zPhoneCOSPage"/>
    <w:basedOn w:val="Normal"/>
    <w:qFormat/>
    <w:pPr>
      <w:ind w:hanging="0" w:start="4320" w:end="0"/>
    </w:pPr>
    <w:rPr/>
  </w:style>
  <w:style w:type="paragraph" w:styleId="heading3Text1">
    <w:name w:val="heading 3 Text1"/>
    <w:basedOn w:val="Heading2Text"/>
    <w:qFormat/>
    <w:pPr>
      <w:spacing w:lineRule="exact" w:line="480"/>
      <w:ind w:firstLine="1440" w:start="720" w:end="0"/>
    </w:pPr>
    <w:rPr>
      <w:rFonts w:ascii="Courier" w:hAnsi="Courier" w:cs="Courier"/>
    </w:rPr>
  </w:style>
  <w:style w:type="paragraph" w:styleId="heading4Text1">
    <w:name w:val="heading 4 Text1"/>
    <w:basedOn w:val="heading3Text1"/>
    <w:qFormat/>
    <w:pPr>
      <w:ind w:firstLine="1440" w:start="1440" w:end="0"/>
    </w:pPr>
    <w:rPr/>
  </w:style>
  <w:style w:type="paragraph" w:styleId="heading5Text1">
    <w:name w:val="heading 5 Text1"/>
    <w:basedOn w:val="heading4Text1"/>
    <w:qFormat/>
    <w:pPr>
      <w:ind w:firstLine="1440" w:start="2160" w:end="0"/>
    </w:pPr>
    <w:rPr/>
  </w:style>
  <w:style w:type="paragraph" w:styleId="heading6Text1">
    <w:name w:val="heading 6 Text1"/>
    <w:basedOn w:val="Heading1Text"/>
    <w:qFormat/>
    <w:pPr>
      <w:spacing w:lineRule="exact" w:line="480"/>
      <w:ind w:firstLine="720" w:start="2880" w:end="0"/>
    </w:pPr>
    <w:rPr>
      <w:rFonts w:ascii="Courier" w:hAnsi="Courier" w:cs="Courier"/>
    </w:rPr>
  </w:style>
  <w:style w:type="paragraph" w:styleId="heading7Text1">
    <w:name w:val="heading 7 Text1"/>
    <w:basedOn w:val="Heading2Text"/>
    <w:qFormat/>
    <w:pPr>
      <w:spacing w:lineRule="exact" w:line="480"/>
      <w:ind w:firstLine="720" w:start="3600" w:end="0"/>
    </w:pPr>
    <w:rPr>
      <w:rFonts w:ascii="Courier" w:hAnsi="Courier" w:cs="Courier"/>
    </w:rPr>
  </w:style>
  <w:style w:type="paragraph" w:styleId="heading8Text1">
    <w:name w:val="heading 8 Text1"/>
    <w:basedOn w:val="Heading2Text"/>
    <w:qFormat/>
    <w:pPr>
      <w:spacing w:lineRule="exact" w:line="480"/>
      <w:ind w:firstLine="720" w:start="4320" w:end="0"/>
    </w:pPr>
    <w:rPr>
      <w:rFonts w:ascii="Courier" w:hAnsi="Courier" w:cs="Courier"/>
    </w:rPr>
  </w:style>
  <w:style w:type="paragraph" w:styleId="heading9Text1">
    <w:name w:val="heading 9 Text1"/>
    <w:basedOn w:val="Heading2Text"/>
    <w:qFormat/>
    <w:pPr>
      <w:spacing w:lineRule="exact" w:line="480"/>
      <w:ind w:firstLine="720" w:start="5040" w:end="0"/>
    </w:pPr>
    <w:rPr>
      <w:rFonts w:ascii="Courier" w:hAnsi="Courier" w:cs="Courier"/>
    </w:rPr>
  </w:style>
  <w:style w:type="paragraph" w:styleId="zFacsimile">
    <w:name w:val="zFacsimile"/>
    <w:basedOn w:val="Normal"/>
    <w:qFormat/>
    <w:pPr>
      <w:keepNext w:val="true"/>
      <w:ind w:hanging="0" w:start="4320" w:end="0"/>
    </w:pPr>
    <w:rPr>
      <w:color w:val="0000FF"/>
    </w:rPr>
  </w:style>
  <w:style w:type="paragraph" w:styleId="zHeaderAuthorName">
    <w:name w:val="zHeaderAuthorName"/>
    <w:basedOn w:val="Normal"/>
    <w:next w:val="Normal"/>
    <w:qFormat/>
    <w:pPr>
      <w:spacing w:before="240" w:after="29"/>
      <w:ind w:hanging="0" w:start="720" w:end="0"/>
    </w:pPr>
    <w:rPr>
      <w:b/>
      <w:color w:val="000000"/>
      <w:sz w:val="18"/>
    </w:rPr>
  </w:style>
  <w:style w:type="paragraph" w:styleId="zHeaderAuthorTitle">
    <w:name w:val="zHeaderAuthorTitle"/>
    <w:basedOn w:val="Normal"/>
    <w:qFormat/>
    <w:pPr>
      <w:ind w:hanging="0" w:start="720" w:end="0"/>
    </w:pPr>
    <w:rPr>
      <w:color w:val="000000"/>
      <w:spacing w:val="-1"/>
      <w:sz w:val="18"/>
    </w:rPr>
  </w:style>
  <w:style w:type="paragraph" w:styleId="zHeaderLogo">
    <w:name w:val="zHeaderLogo"/>
    <w:basedOn w:val="Normal"/>
    <w:next w:val="Normal"/>
    <w:qFormat/>
    <w:pPr>
      <w:spacing w:before="120" w:after="0"/>
    </w:pPr>
    <w:rPr>
      <w:sz w:val="16"/>
    </w:rPr>
  </w:style>
  <w:style w:type="paragraph" w:styleId="zEmail">
    <w:name w:val="zEmail"/>
    <w:basedOn w:val="zFacsimile"/>
    <w:qFormat/>
    <w:pPr>
      <w:spacing w:before="0" w:after="240"/>
    </w:pPr>
    <w:rPr/>
  </w:style>
  <w:style w:type="paragraph" w:styleId="TOCTitle">
    <w:name w:val="TOC Title"/>
    <w:basedOn w:val="Normal"/>
    <w:qFormat/>
    <w:pPr>
      <w:spacing w:lineRule="atLeast" w:line="240" w:before="0" w:after="240"/>
      <w:jc w:val="center"/>
    </w:pPr>
    <w:rPr>
      <w:rFonts w:ascii="Courier" w:hAnsi="Courier" w:cs="Courier"/>
      <w:caps/>
      <w:u w:val="single"/>
    </w:rPr>
  </w:style>
  <w:style w:type="paragraph" w:styleId="TOCtable">
    <w:name w:val="TOCtable"/>
    <w:basedOn w:val="Normal"/>
    <w:qFormat/>
    <w:pPr>
      <w:shd w:fill="000000" w:val="clear"/>
      <w:spacing w:lineRule="atLeast" w:line="240"/>
      <w:jc w:val="center"/>
    </w:pPr>
    <w:rPr>
      <w:rFonts w:ascii="Helvetica-Narrow" w:hAnsi="Helvetica-Narrow" w:cs="Helvetica-Narrow"/>
      <w:b/>
      <w:color w:val="FFFFFF"/>
    </w:rPr>
  </w:style>
  <w:style w:type="paragraph" w:styleId="FilingTitle">
    <w:name w:val="Filing Title"/>
    <w:basedOn w:val="Normal"/>
    <w:qFormat/>
    <w:pPr>
      <w:suppressLineNumbers/>
      <w:spacing w:lineRule="atLeast" w:line="240" w:before="0" w:after="120"/>
      <w:jc w:val="center"/>
    </w:pPr>
    <w:rPr>
      <w:b/>
    </w:rPr>
  </w:style>
  <w:style w:type="paragraph" w:styleId="TOCColumnHeading">
    <w:name w:val="TOC Column Heading"/>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6.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Edison Brief</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2000-12-12T15:30:00Z</dcterms:created>
  <dc:creator>Sarah C. Perez</dc:creator>
  <dc:description/>
  <dc:language>en-CA</dc:language>
  <cp:lastModifiedBy>Sarah C. Perez</cp:lastModifiedBy>
  <cp:lastPrinted>2000-12-08T17:09:00Z</cp:lastPrinted>
  <dcterms:modified xsi:type="dcterms:W3CDTF">2000-12-12T15:30:00Z</dcterms:modified>
  <cp:revision>2</cp:revision>
  <dc:subject/>
  <dc:title>SCE Brief</dc:title>
</cp:coreProperties>
</file>