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ind w:start="380" w:end="0"/>
        <w:jc w:val="center"/>
        <w:rPr>
          <w:rFonts w:ascii="Arial" w:hAnsi="Arial" w:cs="Arial"/>
          <w:b/>
          <w:bCs/>
          <w:szCs w:val="20"/>
        </w:rPr>
      </w:pPr>
      <w:r>
        <w:rPr>
          <w:rFonts w:cs="Arial" w:ascii="Arial" w:hAnsi="Arial"/>
          <w:b/>
          <w:bCs/>
          <w:szCs w:val="20"/>
        </w:rPr>
        <w:t>SCOPE OF RESPONSIBILITIES</w:t>
      </w:r>
    </w:p>
    <w:p>
      <w:pPr>
        <w:pStyle w:val="Normal"/>
        <w:autoSpaceDE w:val="false"/>
        <w:ind w:start="380" w:end="0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b/>
          <w:bCs/>
          <w:szCs w:val="20"/>
        </w:rPr>
        <w:t>6/1/01 Brian Redmond</w:t>
      </w:r>
    </w:p>
    <w:p>
      <w:pPr>
        <w:pStyle w:val="Normal"/>
        <w:autoSpaceDE w:val="false"/>
        <w:rPr>
          <w:rFonts w:ascii="Arial" w:hAnsi="Arial" w:cs="Arial"/>
          <w:b/>
          <w:bCs/>
          <w:szCs w:val="20"/>
        </w:rPr>
      </w:pPr>
      <w:r>
        <w:rPr>
          <w:rFonts w:cs="Arial" w:ascii="Arial" w:hAnsi="Arial"/>
          <w:b/>
          <w:bCs/>
          <w:szCs w:val="20"/>
        </w:rPr>
      </w:r>
    </w:p>
    <w:p>
      <w:pPr>
        <w:pStyle w:val="BodyTextIndent"/>
        <w:rPr/>
      </w:pPr>
      <w:r>
        <w:rPr/>
        <w:t>1.</w:t>
        <w:tab/>
        <w:t>Texas Gas Origination:  Reporting to EA Office of the Chairman (combined P/L with Texas Trading – Tom Martin)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Build Enron’s Texas intrastate business through the development of a trading and origination platform – get access to key market data.</w:t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Outsourcing of gas management/procurement services.</w:t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Gas sales to industrial, commercial, power/gas utility customers.</w:t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Development and sale of gas assets.</w:t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Increase the liquidity of and Enron’s access to gas and gas transportation.</w:t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Cross commodity transactions between gas and power in ERCOT.</w:t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Cross-boarder gas transactions with PEMEX .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BodyTextIndent3"/>
        <w:ind w:start="720" w:end="0"/>
        <w:rPr/>
      </w:pPr>
      <w:r>
        <w:rPr/>
        <w:t>2.</w:t>
        <w:tab/>
        <w:t>Enron Americas Gas Transportation Assets: Reporting to EA Office of the Chairman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Heading1"/>
        <w:rPr/>
      </w:pPr>
      <w:r>
        <w:rPr/>
        <w:t>A.</w:t>
        <w:tab/>
        <w:t>Bridgeline Holdings LP: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Optimize the value of Enron’s investment in Bridgeline.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Prepare Bridgeline for the sale of Enron’s equity interest.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Lead the sales process in coordination with Texaco and EA Corporate Development.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Heading1"/>
        <w:rPr/>
      </w:pPr>
      <w:r>
        <w:rPr/>
        <w:t>B.</w:t>
        <w:tab/>
        <w:t xml:space="preserve">Houston Pipeline: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 xml:space="preserve">Management of residual HPL assets.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Mitigation and elimination of residual HPL liabilities.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Coordinate with other Enron groups with respect to accounting, legal, tax, and business ops.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Heading1"/>
        <w:numPr>
          <w:ilvl w:val="0"/>
          <w:numId w:val="2"/>
        </w:numPr>
        <w:rPr/>
      </w:pPr>
      <w:r>
        <w:rPr/>
        <w:t>Pan Nat:</w:t>
      </w:r>
    </w:p>
    <w:p>
      <w:pPr>
        <w:pStyle w:val="Normal"/>
        <w:numPr>
          <w:ilvl w:val="1"/>
          <w:numId w:val="2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Coordinate Enron resources working on Pan Nat arbitration</w:t>
      </w:r>
    </w:p>
    <w:p>
      <w:pPr>
        <w:pStyle w:val="Normal"/>
        <w:numPr>
          <w:ilvl w:val="1"/>
          <w:numId w:val="2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Lead discussions with Duke in respect of settlement</w:t>
      </w:r>
    </w:p>
    <w:p>
      <w:pPr>
        <w:pStyle w:val="Normal"/>
        <w:numPr>
          <w:ilvl w:val="1"/>
          <w:numId w:val="2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Monitor value of Enron’s exposure to Duke and Citrus</w:t>
      </w:r>
    </w:p>
    <w:p>
      <w:pPr>
        <w:pStyle w:val="Normal"/>
        <w:autoSpaceDE w:val="false"/>
        <w:ind w:start="72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BodyTextIndent3"/>
        <w:ind w:start="720" w:end="0"/>
        <w:rPr/>
      </w:pPr>
      <w:r>
        <w:rPr/>
        <w:t>3.</w:t>
        <w:tab/>
        <w:t>Enron Americas Technical Services: Reporting to Office of the Chairman:</w:t>
      </w:r>
    </w:p>
    <w:p>
      <w:pPr>
        <w:pStyle w:val="BodyTextIndent3"/>
        <w:ind w:start="720" w:end="0"/>
        <w:rPr/>
      </w:pPr>
      <w:r>
        <w:rPr/>
      </w:r>
    </w:p>
    <w:p>
      <w:pPr>
        <w:pStyle w:val="Normal"/>
        <w:numPr>
          <w:ilvl w:val="0"/>
          <w:numId w:val="3"/>
        </w:numPr>
        <w:autoSpaceDE w:val="false"/>
        <w:ind w:hanging="360" w:start="108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Provide in-house technical resources to support gas and power origination and development.</w:t>
      </w:r>
    </w:p>
    <w:p>
      <w:pPr>
        <w:pStyle w:val="Normal"/>
        <w:numPr>
          <w:ilvl w:val="0"/>
          <w:numId w:val="3"/>
        </w:numPr>
        <w:autoSpaceDE w:val="false"/>
        <w:ind w:hanging="360" w:start="108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Manage 3</w:t>
      </w:r>
      <w:r>
        <w:rPr>
          <w:rFonts w:cs="Arial" w:ascii="Arial" w:hAnsi="Arial"/>
          <w:szCs w:val="20"/>
          <w:vertAlign w:val="superscript"/>
        </w:rPr>
        <w:t>rd</w:t>
      </w:r>
      <w:r>
        <w:rPr>
          <w:rFonts w:cs="Arial" w:ascii="Arial" w:hAnsi="Arial"/>
          <w:szCs w:val="20"/>
        </w:rPr>
        <w:t xml:space="preserve"> party technical resources supporting gas and power origination and development.</w:t>
      </w:r>
    </w:p>
    <w:p>
      <w:pPr>
        <w:pStyle w:val="Normal"/>
        <w:numPr>
          <w:ilvl w:val="0"/>
          <w:numId w:val="3"/>
        </w:numPr>
        <w:autoSpaceDE w:val="false"/>
        <w:ind w:hanging="360" w:start="108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Coordinate project due diligence, staffing, cost control, and technical support with EEOS.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  <w:lvl w:ilvl="1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3">
    <w:lvl w:ilvl="0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ind w:hanging="0" w:start="720" w:end="0"/>
      <w:outlineLvl w:val="0"/>
    </w:pPr>
    <w:rPr>
      <w:rFonts w:ascii="Arial" w:hAnsi="Arial" w:cs="Arial"/>
      <w:b/>
      <w:bCs/>
      <w:szCs w:val="2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2">
    <w:name w:val="WW8Num2z2"/>
    <w:qFormat/>
    <w:rPr/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2">
    <w:name w:val="WW8Num9z2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720" w:start="720" w:end="0"/>
    </w:pPr>
    <w:rPr>
      <w:rFonts w:ascii="Arial" w:hAnsi="Arial" w:cs="Arial"/>
      <w:b/>
      <w:bCs/>
      <w:szCs w:val="20"/>
    </w:rPr>
  </w:style>
  <w:style w:type="paragraph" w:styleId="BodyTextIndent2">
    <w:name w:val="Body Text Indent 2"/>
    <w:basedOn w:val="Normal"/>
    <w:qFormat/>
    <w:pPr>
      <w:autoSpaceDE w:val="false"/>
      <w:ind w:hanging="720" w:start="1440" w:end="0"/>
    </w:pPr>
    <w:rPr>
      <w:rFonts w:ascii="Arial" w:hAnsi="Arial" w:cs="Arial"/>
      <w:szCs w:val="20"/>
    </w:rPr>
  </w:style>
  <w:style w:type="paragraph" w:styleId="BodyTextIndent3">
    <w:name w:val="Body Text Indent 3"/>
    <w:basedOn w:val="Normal"/>
    <w:qFormat/>
    <w:pPr>
      <w:autoSpaceDE w:val="false"/>
      <w:ind w:hanging="720" w:start="1440" w:end="0"/>
    </w:pPr>
    <w:rPr>
      <w:rFonts w:ascii="Arial" w:hAnsi="Arial" w:cs="Arial"/>
      <w:b/>
      <w:bCs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2001-06-25T19:43:00Z</dcterms:created>
  <dc:creator>bredmon</dc:creator>
  <dc:description/>
  <dc:language>en-CA</dc:language>
  <cp:lastModifiedBy>bredmon</cp:lastModifiedBy>
  <cp:lastPrinted>2001-06-25T17:21:00Z</cp:lastPrinted>
  <dcterms:modified xsi:type="dcterms:W3CDTF">2001-06-25T19:56:00Z</dcterms:modified>
  <cp:revision>10</cp:revision>
  <dc:subject/>
  <dc:title>SCOPE OF RESPONSIBILITIES</dc:title>
</cp:coreProperties>
</file>