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ind w:start="380" w:end="0"/>
        <w:jc w:val="center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  <w:t>OPTION 2: SCOPE OF RESPONSIBILITIES</w:t>
      </w:r>
    </w:p>
    <w:p>
      <w:pPr>
        <w:pStyle w:val="Normal"/>
        <w:autoSpaceDE w:val="false"/>
        <w:ind w:start="380" w:end="0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b/>
          <w:bCs/>
          <w:szCs w:val="20"/>
        </w:rPr>
        <w:t>6/1/01 Brian Redmond</w:t>
      </w:r>
    </w:p>
    <w:p>
      <w:pPr>
        <w:pStyle w:val="Normal"/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Normal"/>
        <w:numPr>
          <w:ilvl w:val="0"/>
          <w:numId w:val="3"/>
        </w:numPr>
        <w:autoSpaceDE w:val="false"/>
        <w:ind w:hanging="720" w:start="720" w:end="0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  <w:t>Power Asset Origination:  Reporting to Enron Americas Office of the Chairman</w:t>
      </w:r>
    </w:p>
    <w:p>
      <w:pPr>
        <w:pStyle w:val="Normal"/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Heading1"/>
        <w:rPr/>
      </w:pPr>
      <w:r>
        <w:rPr/>
        <w:t>A.</w:t>
        <w:tab/>
        <w:t>Power Sites &amp; Equipment: Ben Jacoby</w:t>
      </w:r>
    </w:p>
    <w:p>
      <w:pPr>
        <w:pStyle w:val="Normal"/>
        <w:numPr>
          <w:ilvl w:val="1"/>
          <w:numId w:val="5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Identification, permitting, development, and sale of land for power assets.</w:t>
      </w:r>
    </w:p>
    <w:p>
      <w:pPr>
        <w:pStyle w:val="Normal"/>
        <w:numPr>
          <w:ilvl w:val="1"/>
          <w:numId w:val="5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Acquisition, modification, marketing and sale of power equipment.</w:t>
      </w:r>
    </w:p>
    <w:p>
      <w:pPr>
        <w:pStyle w:val="Normal"/>
        <w:autoSpaceDE w:val="false"/>
        <w:ind w:start="144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BodyTextIndent2"/>
        <w:rPr>
          <w:b/>
          <w:bCs/>
        </w:rPr>
      </w:pPr>
      <w:r>
        <w:rPr>
          <w:b/>
          <w:bCs/>
        </w:rPr>
        <w:t>B.</w:t>
        <w:tab/>
        <w:t>Power Facility Development: [               ]</w:t>
      </w:r>
    </w:p>
    <w:p>
      <w:pPr>
        <w:pStyle w:val="BodyTextIndent2"/>
        <w:numPr>
          <w:ilvl w:val="0"/>
          <w:numId w:val="7"/>
        </w:numPr>
        <w:rPr/>
      </w:pPr>
      <w:r>
        <w:rPr/>
        <w:t>Identification, permitting, design, and construction of power facilities</w:t>
      </w:r>
    </w:p>
    <w:p>
      <w:pPr>
        <w:pStyle w:val="BodyTextIndent2"/>
        <w:numPr>
          <w:ilvl w:val="0"/>
          <w:numId w:val="7"/>
        </w:numPr>
        <w:rPr/>
      </w:pPr>
      <w:r>
        <w:rPr/>
        <w:t>Management and sale of power facilities</w:t>
      </w:r>
    </w:p>
    <w:p>
      <w:pPr>
        <w:pStyle w:val="BodyTextIndent2"/>
        <w:ind w:hanging="0" w:start="1080" w:end="0"/>
        <w:rPr/>
      </w:pPr>
      <w:r>
        <w:rPr/>
      </w:r>
    </w:p>
    <w:p>
      <w:pPr>
        <w:pStyle w:val="Normal"/>
        <w:autoSpaceDE w:val="false"/>
        <w:ind w:start="720" w:end="0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  <w:t>C.</w:t>
        <w:tab/>
        <w:t>Inside the Fence Generation: [          ]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szCs w:val="20"/>
        </w:rPr>
        <w:t>Identification, acquisition, and management of power assets imbedded in petrochemical and refining facilities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szCs w:val="20"/>
        </w:rPr>
        <w:t>Design and installation of power assets associated with petrochemical and refining facilities</w:t>
      </w:r>
    </w:p>
    <w:p>
      <w:pPr>
        <w:pStyle w:val="Normal"/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BodyTextIndent3"/>
        <w:rPr/>
      </w:pPr>
      <w:r>
        <w:rPr/>
        <w:t>D.</w:t>
        <w:tab/>
        <w:t>Power Technical Services: Bob Virgo (East), Wayne Mays (West)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Provide in-house technical resources to support power origination.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Manage 3</w:t>
      </w:r>
      <w:r>
        <w:rPr>
          <w:rFonts w:cs="Arial" w:ascii="Arial" w:hAnsi="Arial"/>
          <w:szCs w:val="20"/>
          <w:vertAlign w:val="superscript"/>
        </w:rPr>
        <w:t>rd</w:t>
      </w:r>
      <w:r>
        <w:rPr>
          <w:rFonts w:cs="Arial" w:ascii="Arial" w:hAnsi="Arial"/>
          <w:szCs w:val="20"/>
        </w:rPr>
        <w:t xml:space="preserve"> party technical resources supporting power origination.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Coordinate project due diligence, staffing, cost control, and technical support with EEOS.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BodyTextIndent"/>
        <w:rPr/>
      </w:pPr>
      <w:r>
        <w:rPr/>
        <w:t>2.</w:t>
        <w:tab/>
        <w:t xml:space="preserve">Gas Asset Services: 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Cs w:val="20"/>
        </w:rPr>
        <w:tab/>
      </w:r>
      <w:r>
        <w:rPr>
          <w:rFonts w:cs="Arial" w:ascii="Arial" w:hAnsi="Arial"/>
          <w:b/>
          <w:bCs/>
          <w:szCs w:val="20"/>
        </w:rPr>
        <w:t>A.</w:t>
        <w:tab/>
        <w:t>Gas Asset Management Services: Jim Coffey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Management of residual HPL assets and liabilities.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Commercial leadership of Pan Nat Arbitration.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szCs w:val="20"/>
        </w:rPr>
        <w:t>Coordinate with other Enron groups with respect to accounting, management and liquidation of gas assets (Bridgeline).</w:t>
      </w:r>
    </w:p>
    <w:p>
      <w:pPr>
        <w:pStyle w:val="Normal"/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Normal"/>
        <w:autoSpaceDE w:val="false"/>
        <w:ind w:firstLine="720" w:end="0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  <w:t>B.</w:t>
        <w:tab/>
        <w:t>Gas Technical Services: Gary Wilson, David Owen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Manage the technical resources supporting gas origination.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Coordinate project due diligence, staffing, cost control, origination support, and operations with EEOS.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40"/>
        </w:tabs>
        <w:ind w:start="74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start"/>
      <w:pPr>
        <w:tabs>
          <w:tab w:val="num" w:pos="2700"/>
        </w:tabs>
        <w:ind w:start="2700" w:hanging="360"/>
      </w:pPr>
      <w:rPr/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720" w:end="0"/>
      <w:outlineLvl w:val="0"/>
    </w:pPr>
    <w:rPr>
      <w:rFonts w:ascii="Arial" w:hAnsi="Arial" w:cs="Arial"/>
      <w:b/>
      <w:bCs/>
      <w:szCs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/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2">
    <w:name w:val="WW8Num8z2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720" w:start="720" w:end="0"/>
    </w:pPr>
    <w:rPr>
      <w:rFonts w:ascii="Arial" w:hAnsi="Arial" w:cs="Arial"/>
      <w:b/>
      <w:bCs/>
      <w:szCs w:val="20"/>
    </w:rPr>
  </w:style>
  <w:style w:type="paragraph" w:styleId="BodyTextIndent2">
    <w:name w:val="Body Text Indent 2"/>
    <w:basedOn w:val="Normal"/>
    <w:qFormat/>
    <w:pPr>
      <w:autoSpaceDE w:val="false"/>
      <w:ind w:hanging="720" w:start="1440" w:end="0"/>
    </w:pPr>
    <w:rPr>
      <w:rFonts w:ascii="Arial" w:hAnsi="Arial" w:cs="Arial"/>
      <w:szCs w:val="20"/>
    </w:rPr>
  </w:style>
  <w:style w:type="paragraph" w:styleId="BodyTextIndent3">
    <w:name w:val="Body Text Indent 3"/>
    <w:basedOn w:val="Normal"/>
    <w:qFormat/>
    <w:pPr>
      <w:autoSpaceDE w:val="false"/>
      <w:ind w:hanging="720" w:start="1440" w:end="0"/>
    </w:pPr>
    <w:rPr>
      <w:rFonts w:ascii="Arial" w:hAnsi="Arial" w:cs="Arial"/>
      <w:b/>
      <w:bCs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2001-06-20T16:17:00Z</dcterms:created>
  <dc:creator>bredmon</dc:creator>
  <dc:description/>
  <dc:language>en-CA</dc:language>
  <cp:lastModifiedBy>bredmon</cp:lastModifiedBy>
  <cp:lastPrinted>2001-06-20T13:51:00Z</cp:lastPrinted>
  <dcterms:modified xsi:type="dcterms:W3CDTF">2001-06-20T16:26:00Z</dcterms:modified>
  <cp:revision>5</cp:revision>
  <dc:subject/>
  <dc:title>SCOPE OF RESPONSIBILITIES</dc:title>
</cp:coreProperties>
</file>