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State Government/Federal Regulatory Affairs Group</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Rick Shapiro</w:t>
            </w:r>
          </w:p>
        </w:tc>
        <w:tc>
          <w:tcPr>
            <w:tcW w:w="990" w:type="dxa"/>
            <w:tcBorders/>
          </w:tcPr>
          <w:p>
            <w:pPr>
              <w:pStyle w:val="Normal"/>
              <w:ind w:start="-180" w:end="0"/>
              <w:jc w:val="end"/>
              <w:rPr>
                <w:sz w:val="16"/>
                <w:szCs w:val="16"/>
              </w:rPr>
            </w:pPr>
            <w:r>
              <w:rPr>
                <w:sz w:val="16"/>
                <w:szCs w:val="16"/>
              </w:rPr>
              <w:t>Department:</w:t>
            </w:r>
          </w:p>
        </w:tc>
        <w:tc>
          <w:tcPr>
            <w:tcW w:w="2965" w:type="dxa"/>
            <w:tcBorders/>
          </w:tcPr>
          <w:p>
            <w:pPr>
              <w:pStyle w:val="Department"/>
              <w:rPr/>
            </w:pPr>
            <w:bookmarkStart w:id="0" w:name="From"/>
            <w:bookmarkEnd w:id="0"/>
            <w:r>
              <w:rPr/>
              <w:t>SG/FRA</w:t>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Resource Commitment Approval Process</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Normal"/>
        <w:rPr/>
      </w:pPr>
      <w:r>
        <w:rPr/>
        <w:t>As was discussed on the staff conference call this past Friday, I am instituting a Resource Commitment Approval process that is designed, over time, to better focus our internal and external resources on efforts and projects that create the greatest amount of value for Enron and its operating companies (see attached form).  In this process, Jim Steffes</w:t>
      </w:r>
      <w:r>
        <w:rPr>
          <w:rStyle w:val="FootnoteCharacters"/>
          <w:rStyle w:val="FootnoteReference"/>
          <w:rFonts w:eastAsia="Symbol" w:cs="Symbol" w:ascii="Symbol" w:hAnsi="Symbol"/>
        </w:rPr>
        <w:footnoteReference w:customMarkFollows="1" w:id="2"/>
        <w:t>*</w:t>
      </w:r>
      <w:r>
        <w:rPr/>
        <w:t xml:space="preserve"> (Regulatory Assessment &amp; Management) will be responsible for creating a valuation of each "project", in consultation with State Government/Federal Regulatory Affairs (SG/FRA) and the appropriate commercial group(s).  Harry Kingerski,</w:t>
      </w:r>
      <w:r>
        <w:rPr>
          <w:rStyle w:val="FootnoteCharacters"/>
          <w:rStyle w:val="FootnoteReference"/>
          <w:rFonts w:eastAsia="Symbol" w:cs="Symbol" w:ascii="Symbol" w:hAnsi="Symbol"/>
        </w:rPr>
        <w:footnoteReference w:customMarkFollows="1" w:id="3"/>
        <w:t>*</w:t>
      </w:r>
      <w:r>
        <w:rPr/>
        <w:t xml:space="preserve"> who is joining SG/FRA as of 3/29/99, will be responsible for reviewing each form and offering his assessment of the project relative to both quantifiable and non-quantifiable value.   Every project, proceeding, effort, etc., that will result in an outside resources expenditure of $2,500 or greater must be approved pursuant to this process.  I would also request that all ongoing projects, etc.,  that will meet that spending threshold with respect to future expenditures be run through this process.</w:t>
      </w:r>
    </w:p>
    <w:p>
      <w:pPr>
        <w:pStyle w:val="Normal"/>
        <w:rPr/>
      </w:pPr>
      <w:r>
        <w:rPr/>
      </w:r>
    </w:p>
    <w:p>
      <w:pPr>
        <w:pStyle w:val="Normal"/>
        <w:rPr/>
      </w:pPr>
      <w:r>
        <w:rPr/>
        <w:t xml:space="preserve">I will make the final decision with respect to each submission.  Rest assured, that while the valuation assessment will be a significant and, sometimes, deciding factor as to whether and at what dollar level the resource commitment request is approved, other non-quantifiable criteria, </w:t>
      </w:r>
      <w:r>
        <w:rPr>
          <w:i/>
          <w:iCs/>
        </w:rPr>
        <w:t>e.g</w:t>
      </w:r>
      <w:r>
        <w:rPr/>
        <w:t xml:space="preserve">., long-term impact on market development, will be factored into the final decision.  I am also cognizant that this form will work differently for projects undertaken by the Federal Regulatory Affairs and that the valuation process for that group will likely not result in a precise valuation. Nonetheless,  I still believe it is still a useful tool to be employed for projects and efforts undertaken by that group.  </w:t>
      </w:r>
    </w:p>
    <w:p>
      <w:pPr>
        <w:pStyle w:val="Normal"/>
        <w:rPr/>
      </w:pPr>
      <w:r>
        <w:rPr/>
      </w:r>
    </w:p>
    <w:p>
      <w:pPr>
        <w:pStyle w:val="Normal"/>
        <w:rPr/>
      </w:pPr>
      <w:r>
        <w:rPr/>
        <w:t>This process can and should help us to better deploy resources to their highest and best use.  I am also sure that as we gain experience with the process, it will need to be adjusted.  If you have any questions or concerns, please feel free to call me at 713-853-3407.</w:t>
      </w:r>
    </w:p>
    <w:p>
      <w:pPr>
        <w:pStyle w:val="Normal"/>
        <w:rPr/>
      </w:pPr>
      <w:r>
        <w:rPr/>
      </w:r>
    </w:p>
    <w:p>
      <w:pPr>
        <w:pStyle w:val="Normal"/>
        <w:rPr/>
      </w:pPr>
      <w:r>
        <w:rPr/>
      </w:r>
    </w:p>
    <w:p>
      <w:pPr>
        <w:pStyle w:val="Normal"/>
        <w:rPr/>
      </w:pPr>
      <w:r>
        <w:rPr/>
      </w:r>
    </w:p>
    <w:p>
      <w:pPr>
        <w:pStyle w:val="Normal"/>
        <w:rPr/>
      </w:pPr>
      <w:r>
        <w:rPr/>
      </w:r>
    </w:p>
    <w:p>
      <w:pPr>
        <w:pStyle w:val="Department"/>
        <w:rPr/>
      </w:pPr>
      <w:r>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szCs w:val="16"/>
      </w:rPr>
    </w:pPr>
    <w:r>
      <w:rPr>
        <w:b/>
        <w:bCs/>
        <w:sz w:val="16"/>
        <w:szCs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szCs w:val="16"/>
      </w:rPr>
    </w:pPr>
    <w:r>
      <w:rPr>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Jim Steffes and Harry Kingerski will be responsible for forwarding their comments to me prior to the deadline.</w:t>
      </w:r>
    </w:p>
  </w:footnote>
  <w:footnote w:id="3">
    <w:p>
      <w:pPr>
        <w:pStyle w:val="FootnoteText"/>
        <w:rPr/>
      </w:pPr>
      <w:r>
        <w:rPr>
          <w:rStyle w:val="FootnoteCharacters"/>
        </w:rPr>
        <w:t>*</w:t>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tabs>
        <w:tab w:val="clear" w:pos="540"/>
      </w:tabs>
    </w:pPr>
    <w:rPr>
      <w:rFonts w:ascii="Times New Roman" w:hAnsi="Times New Roman" w:eastAsia="Times New Roman" w:cs="Times New Roman"/>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1999-03-17T13:14:00Z</dcterms:created>
  <dc:creator>EES User</dc:creator>
  <dc:description/>
  <dc:language>en-CA</dc:language>
  <cp:lastModifiedBy>gderneh</cp:lastModifiedBy>
  <cp:lastPrinted>1999-03-18T16:28:00Z</cp:lastPrinted>
  <dcterms:modified xsi:type="dcterms:W3CDTF">1999-03-18T20:19:00Z</dcterms:modified>
  <cp:revision>1</cp:revision>
  <dc:subject/>
  <dc:title>Eron Capital &amp; Trade Resources Memo</dc:title>
</cp:coreProperties>
</file>