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pPr>
      <w:r>
        <w:rPr>
          <w:b/>
          <w:sz w:val="22"/>
        </w:rPr>
        <w:t>ENRON CREDIT INC.</w:t>
      </w:r>
      <w:r>
        <w:rPr>
          <w:sz w:val="22"/>
        </w:rPr>
        <w:t xml:space="preserve"> </w:t>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CREDIT INC., a Delaware corporation (the "Company"),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Chief Executive Officer, (ii) the President, (iii) the Vice President, (iv) the Treasurer, or (v) any Director, acting together with any one of (i) the Executive Vice President and Chief Risk Officer of Enron Corp., or (ii) Cassandra R. Schultz,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Directors, (ii) the President, (iii) the Vice President, (iv) the Executive Vice President and Chief Risk Officer of Enron Corp., or (v) Cassandra R. Schultz,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FURTHER RESOLVED, that brokerage firms with whom accounts may be established hereunder may deal with such other persons as may be designated from time to time by (i) the Directors, (ii) the President, (iii) the Vice President, (iv) the Executive Vice President and Chief Risk Officer of Enron Corp., or (v) Cassandra R. Schultz, Vice President of Risk Assessment and Control Group, a division of Enron Corp., as though they were 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Directors, (ii) the President, (iii) the Vice President, (iv) the Executive Vice President and Chief Risk Officer of Enron Corp., or (v) Cassandra R. Schultz, Vice President of Risk Assessment and Control Group, a division of Enron Corp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and directors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pPr>
      <w:r>
        <w:rPr>
          <w:sz w:val="22"/>
        </w:rPr>
        <w:t xml:space="preserve">Dated as of </w:t>
      </w:r>
      <w:r>
        <w:rPr>
          <w:sz w:val="22"/>
          <w:u w:val="single"/>
        </w:rPr>
        <w:tab/>
        <w:tab/>
      </w:r>
      <w:r>
        <w:rPr>
          <w:sz w:val="22"/>
        </w:rPr>
        <w:t>, 2001.</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Frevert</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Haedicke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James V. Derrick, Jr.</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t>___________________________</w:t>
      </w:r>
    </w:p>
    <w:p>
      <w:pPr>
        <w:pStyle w:val="Normal"/>
        <w:tabs>
          <w:tab w:val="clear" w:pos="720"/>
          <w:tab w:val="left" w:pos="2520" w:leader="none"/>
          <w:tab w:val="left" w:pos="5760" w:leader="none"/>
        </w:tabs>
        <w:ind w:start="5040" w:end="0"/>
        <w:jc w:val="both"/>
        <w:rPr>
          <w:sz w:val="22"/>
        </w:rPr>
      </w:pPr>
      <w:r>
        <w:rPr>
          <w:sz w:val="22"/>
        </w:rPr>
        <w:t>Craig Chaney</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Jeff Kinneman</w:t>
      </w:r>
    </w:p>
    <w:p>
      <w:pPr>
        <w:pStyle w:val="Expanded"/>
        <w:spacing w:before="0" w:after="0"/>
        <w:jc w:val="start"/>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/mnt/main-storage/datasets/enron-docs/doc/Resolution___update.doc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/mnt/main-storage/datasets/enron-docs/doc/Resolution___update.doc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2001-04-03T13:24:00Z</dcterms:created>
  <dc:creator>mheard</dc:creator>
  <dc:description/>
  <dc:language>en-CA</dc:language>
  <cp:lastModifiedBy>spanus</cp:lastModifiedBy>
  <cp:lastPrinted>2001-04-03T15:16:00Z</cp:lastPrinted>
  <dcterms:modified xsi:type="dcterms:W3CDTF">2001-04-03T17:50:00Z</dcterms:modified>
  <cp:revision>6</cp:revision>
  <dc:subject/>
  <dc:title>INFORMATION REQUIRED FOR BROKERAGE ACCOUNTS</dc:title>
</cp:coreProperties>
</file>