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  <w:u w:val="single"/>
        </w:rPr>
        <w:t>Ratification for Contract of Affreightment (COA) with SK Shipping</w:t>
      </w:r>
      <w:r>
        <w:rPr>
          <w:b/>
          <w:sz w:val="28"/>
        </w:rPr>
        <w:t xml:space="preserve"> (Pressurized Type LPG Carrier) </w:t>
      </w:r>
      <w:r>
        <w:rPr>
          <w:b/>
          <w:sz w:val="28"/>
        </w:rPr>
        <w:t>–</w:t>
      </w:r>
      <w:r>
        <w:rPr>
          <w:b/>
          <w:sz w:val="28"/>
        </w:rPr>
        <w:t xml:space="preserve"> SK Gas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Summary of New Contract “COA”</w:t>
      </w:r>
    </w:p>
    <w:tbl>
      <w:tblPr>
        <w:tblW w:w="8700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539"/>
        <w:gridCol w:w="2387"/>
        <w:gridCol w:w="2387"/>
        <w:gridCol w:w="2387"/>
      </w:tblGrid>
      <w:tr>
        <w:trPr/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851"/>
                <w:tab w:val="left" w:pos="1341" w:leader="none"/>
              </w:tabs>
              <w:ind w:hanging="0" w:start="0"/>
              <w:rPr/>
            </w:pPr>
            <w:r>
              <w:rPr/>
              <w:t>Current Contract</w:t>
            </w:r>
          </w:p>
        </w:tc>
        <w:tc>
          <w:tcPr>
            <w:tcW w:w="2387" w:type="dxa"/>
            <w:tcBorders>
              <w:top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New Contract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>
        <w:trPr/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Duration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Jun.,2000 ~ Dec.,2000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(7 months)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+/- 1 month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851"/>
                <w:tab w:val="left" w:pos="1341" w:leader="none"/>
              </w:tabs>
              <w:ind w:hanging="0" w:start="0"/>
              <w:rPr/>
            </w:pPr>
            <w:r>
              <w:rPr/>
              <w:t>Feb.,2001 ~ Jan.,2002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(1 year)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/>
            </w:pPr>
            <w:r>
              <w:rPr>
                <w:sz w:val="24"/>
              </w:rPr>
              <w:t>+/- 1 month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/>
            </w:pPr>
            <w:r>
              <w:rPr>
                <w:sz w:val="24"/>
              </w:rPr>
              <w:t>Charterer</w:t>
            </w:r>
            <w:r>
              <w:rPr>
                <w:sz w:val="24"/>
              </w:rPr>
              <w:t>’</w:t>
            </w:r>
            <w:r>
              <w:rPr>
                <w:sz w:val="24"/>
              </w:rPr>
              <w:t>s Option</w:t>
            </w:r>
          </w:p>
        </w:tc>
      </w:tr>
      <w:tr>
        <w:trPr/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/>
            </w:pPr>
            <w:r>
              <w:rPr>
                <w:sz w:val="24"/>
              </w:rPr>
              <w:t xml:space="preserve">8,000~12,000 </w:t>
            </w:r>
            <w:r>
              <w:rPr>
                <w:sz w:val="24"/>
              </w:rPr>
              <w:t>Mts.</w:t>
            </w:r>
            <w:r>
              <w:rPr>
                <w:sz w:val="24"/>
              </w:rPr>
              <w:t xml:space="preserve"> 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per month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/>
            </w:pPr>
            <w:r>
              <w:rPr>
                <w:sz w:val="24"/>
              </w:rPr>
              <w:t xml:space="preserve">8,000~12,000 </w:t>
            </w:r>
            <w:r>
              <w:rPr>
                <w:sz w:val="24"/>
              </w:rPr>
              <w:t>Mts.</w:t>
            </w:r>
            <w:r>
              <w:rPr>
                <w:sz w:val="24"/>
              </w:rPr>
              <w:t xml:space="preserve"> 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per month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/>
            </w:pPr>
            <w:r>
              <w:rPr>
                <w:sz w:val="24"/>
              </w:rPr>
              <w:t>Charterer</w:t>
            </w:r>
            <w:r>
              <w:rPr>
                <w:sz w:val="24"/>
              </w:rPr>
              <w:t>’</w:t>
            </w:r>
            <w:r>
              <w:rPr>
                <w:sz w:val="24"/>
              </w:rPr>
              <w:t>s Option</w:t>
            </w:r>
          </w:p>
        </w:tc>
      </w:tr>
      <w:tr>
        <w:trPr/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Basic Freight</w:t>
            </w:r>
          </w:p>
        </w:tc>
        <w:tc>
          <w:tcPr>
            <w:tcW w:w="2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USD 46.5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USD 53.35 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USD 42.05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rFonts w:cs="바탕체" w:ascii="바탕체" w:hAnsi="바탕체"/>
                <w:sz w:val="24"/>
              </w:rPr>
              <w:t>→</w:t>
            </w:r>
            <w:r>
              <w:rPr>
                <w:sz w:val="24"/>
              </w:rPr>
              <w:t>USD 51.89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3,500~5,000 CBM 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6,500 CBM 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rFonts w:cs="바탕체" w:ascii="바탕체" w:hAnsi="바탕체"/>
                <w:sz w:val="24"/>
              </w:rPr>
              <w:t>→</w:t>
            </w:r>
            <w:r>
              <w:rPr>
                <w:sz w:val="24"/>
              </w:rPr>
              <w:t>Weighted Average Freight</w:t>
            </w:r>
          </w:p>
        </w:tc>
      </w:tr>
      <w:tr>
        <w:trPr/>
        <w:tc>
          <w:tcPr>
            <w:tcW w:w="1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 / D port</w:t>
            </w:r>
          </w:p>
        </w:tc>
        <w:tc>
          <w:tcPr>
            <w:tcW w:w="23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South East Asia to South China 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Range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South East Asia to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South China, Philippines, Taiwan, East India</w:t>
            </w:r>
          </w:p>
          <w:p>
            <w:pPr>
              <w:pStyle w:val="Normal"/>
              <w:tabs>
                <w:tab w:val="clear" w:pos="851"/>
                <w:tab w:val="left" w:pos="1341" w:leader="none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Range</w:t>
            </w:r>
          </w:p>
        </w:tc>
        <w:tc>
          <w:tcPr>
            <w:tcW w:w="23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851"/>
                <w:tab w:val="left" w:pos="1341" w:leader="none"/>
              </w:tabs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Offers comparison regarding “COA”</w:t>
      </w:r>
    </w:p>
    <w:tbl>
      <w:tblPr>
        <w:tblW w:w="8700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079"/>
        <w:gridCol w:w="2160"/>
        <w:gridCol w:w="2251"/>
        <w:gridCol w:w="2210"/>
      </w:tblGrid>
      <w:tr>
        <w:trPr/>
        <w:tc>
          <w:tcPr>
            <w:tcW w:w="20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Bidder</w:t>
            </w:r>
          </w:p>
        </w:tc>
        <w:tc>
          <w:tcPr>
            <w:tcW w:w="66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Contents</w:t>
            </w:r>
          </w:p>
        </w:tc>
      </w:tr>
      <w:tr>
        <w:trPr/>
        <w:tc>
          <w:tcPr>
            <w:tcW w:w="20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>3,500~5,000 CBM</w:t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6,500 CBM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Weighted Average Freight</w:t>
            </w:r>
          </w:p>
        </w:tc>
      </w:tr>
      <w:tr>
        <w:trPr/>
        <w:tc>
          <w:tcPr>
            <w:tcW w:w="2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Lauritzen Kosan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USD 56.49</w:t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USD 42.39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USD 55.05</w:t>
            </w:r>
          </w:p>
        </w:tc>
      </w:tr>
      <w:tr>
        <w:trPr/>
        <w:tc>
          <w:tcPr>
            <w:tcW w:w="207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Petredec</w:t>
            </w:r>
          </w:p>
        </w:tc>
        <w:tc>
          <w:tcPr>
            <w:tcW w:w="216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USD 55.34</w:t>
            </w:r>
          </w:p>
        </w:tc>
        <w:tc>
          <w:tcPr>
            <w:tcW w:w="22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USD 55.34</w:t>
            </w:r>
          </w:p>
        </w:tc>
      </w:tr>
      <w:tr>
        <w:trPr/>
        <w:tc>
          <w:tcPr>
            <w:tcW w:w="207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SK Shipping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USD 53.35</w:t>
            </w:r>
          </w:p>
        </w:tc>
        <w:tc>
          <w:tcPr>
            <w:tcW w:w="2251" w:type="dxa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USD 42.05</w:t>
            </w:r>
          </w:p>
        </w:tc>
        <w:tc>
          <w:tcPr>
            <w:tcW w:w="221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USD 51.89</w:t>
            </w:r>
          </w:p>
        </w:tc>
      </w:tr>
    </w:tbl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The declined c</w:t>
      </w:r>
      <w:r>
        <w:rPr>
          <w:sz w:val="24"/>
        </w:rPr>
        <w:t>ompan</w:t>
      </w:r>
      <w:r>
        <w:rPr>
          <w:sz w:val="24"/>
        </w:rPr>
        <w:t xml:space="preserve">ies for COA </w:t>
      </w:r>
      <w:r>
        <w:rPr>
          <w:sz w:val="24"/>
        </w:rPr>
        <w:t>Tender</w:t>
      </w:r>
      <w:r>
        <w:rPr>
          <w:sz w:val="24"/>
        </w:rPr>
        <w:t xml:space="preserve"> 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rFonts w:eastAsia="Times New Roman"/>
          <w:sz w:val="24"/>
        </w:rPr>
        <w:t xml:space="preserve">      </w:t>
      </w:r>
      <w:r>
        <w:rPr>
          <w:sz w:val="24"/>
        </w:rPr>
        <w:t>Anthony Veder, CMB(Exmar), Hanjin Shipping, Mitsubishi Corp.</w:t>
      </w:r>
    </w:p>
    <w:p>
      <w:pPr>
        <w:pStyle w:val="Normal"/>
        <w:rPr>
          <w:sz w:val="24"/>
        </w:rPr>
      </w:pPr>
      <w:r>
        <w:rPr>
          <w:rFonts w:eastAsia="Times New Roman"/>
          <w:sz w:val="24"/>
        </w:rPr>
        <w:t xml:space="preserve">      </w:t>
      </w:r>
      <w:r>
        <w:rPr>
          <w:sz w:val="24"/>
        </w:rPr>
        <w:t>World Wide Transport, Far East Shipping</w:t>
      </w:r>
    </w:p>
    <w:p>
      <w:pPr>
        <w:pStyle w:val="Normal"/>
        <w:numPr>
          <w:ilvl w:val="0"/>
          <w:numId w:val="6"/>
        </w:numPr>
        <w:tabs>
          <w:tab w:val="clear" w:pos="851"/>
          <w:tab w:val="left" w:pos="360" w:leader="none"/>
        </w:tabs>
        <w:rPr>
          <w:sz w:val="24"/>
        </w:rPr>
      </w:pPr>
      <w:r>
        <w:rPr>
          <w:sz w:val="24"/>
        </w:rPr>
        <w:t xml:space="preserve">Weighted Average Freight is based on actual Year 2000 FOB/CFR Trading </w:t>
      </w:r>
      <w:r>
        <w:rPr>
          <w:sz w:val="24"/>
        </w:rPr>
        <w:t>volume</w:t>
      </w:r>
      <w:r>
        <w:rPr>
          <w:sz w:val="24"/>
        </w:rPr>
        <w:t>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Schedule : </w:t>
      </w:r>
    </w:p>
    <w:p>
      <w:pPr>
        <w:pStyle w:val="Normal"/>
        <w:rPr/>
      </w:pPr>
      <w:r>
        <w:rPr>
          <w:rFonts w:eastAsia="Times New Roman"/>
          <w:sz w:val="24"/>
        </w:rPr>
        <w:t xml:space="preserve">      </w:t>
      </w:r>
      <w:r>
        <w:rPr>
          <w:sz w:val="24"/>
        </w:rPr>
        <w:t xml:space="preserve">Invitation (Dec. 13, 2000) </w:t>
      </w:r>
      <w:r>
        <w:rPr>
          <w:rFonts w:cs="바탕체" w:ascii="바탕체" w:hAnsi="바탕체"/>
          <w:sz w:val="24"/>
        </w:rPr>
        <w:t>→</w:t>
      </w:r>
      <w:r>
        <w:rPr>
          <w:sz w:val="24"/>
        </w:rPr>
        <w:t xml:space="preserve">Initial Bid (Dec. 20, 2000) </w:t>
      </w:r>
    </w:p>
    <w:p>
      <w:pPr>
        <w:pStyle w:val="Normal"/>
        <w:rPr>
          <w:sz w:val="24"/>
        </w:rPr>
      </w:pPr>
      <w:r>
        <w:rPr>
          <w:rFonts w:eastAsia="Times New Roman"/>
          <w:sz w:val="24"/>
        </w:rPr>
        <w:t xml:space="preserve">      </w:t>
      </w:r>
      <w:r>
        <w:rPr>
          <w:rFonts w:cs="바탕체" w:ascii="바탕체" w:hAnsi="바탕체"/>
          <w:sz w:val="24"/>
        </w:rPr>
        <w:t>→</w:t>
      </w:r>
      <w:r>
        <w:rPr>
          <w:sz w:val="24"/>
        </w:rPr>
        <w:t xml:space="preserve">Shortlist or Award (Dec. 22, 2000) </w:t>
      </w:r>
      <w:r>
        <w:rPr>
          <w:rFonts w:cs="바탕체" w:ascii="바탕체" w:hAnsi="바탕체"/>
          <w:sz w:val="24"/>
        </w:rPr>
        <w:t>→</w:t>
      </w:r>
      <w:r>
        <w:rPr>
          <w:sz w:val="24"/>
        </w:rPr>
        <w:t>Final Bid (Jan. 03, 2001)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Other Comments</w:t>
      </w:r>
    </w:p>
    <w:tbl>
      <w:tblPr>
        <w:tblW w:w="8700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899"/>
        <w:gridCol w:w="2160"/>
        <w:gridCol w:w="2160"/>
        <w:gridCol w:w="2481"/>
      </w:tblGrid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2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2001 (Plan)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Trading Quantity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204 thou. </w:t>
            </w:r>
            <w:r>
              <w:rPr>
                <w:sz w:val="24"/>
              </w:rPr>
              <w:t>Mts.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303 thou. Mts.</w:t>
            </w:r>
          </w:p>
        </w:tc>
        <w:tc>
          <w:tcPr>
            <w:tcW w:w="2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300~350 thou. Mts.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Monthly Qty.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17 thou. Mts.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25 thou. Mts.</w:t>
            </w:r>
          </w:p>
        </w:tc>
        <w:tc>
          <w:tcPr>
            <w:tcW w:w="2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>25~29 thou. Mts.</w:t>
            </w:r>
          </w:p>
        </w:tc>
      </w:tr>
      <w:tr>
        <w:trPr/>
        <w:tc>
          <w:tcPr>
            <w:tcW w:w="1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COA monthly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8~12 thou. Mts.</w:t>
            </w:r>
          </w:p>
        </w:tc>
        <w:tc>
          <w:tcPr>
            <w:tcW w:w="24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8~12 thou. Mts.</w:t>
            </w:r>
          </w:p>
        </w:tc>
      </w:tr>
    </w:tbl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To reserve trading amount, we have to consider long time contract like COA.</w:t>
      </w:r>
    </w:p>
    <w:sectPr>
      <w:type w:val="nextPage"/>
      <w:pgSz w:w="11906" w:h="16838"/>
      <w:pgMar w:left="1701" w:right="1701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바탕체">
    <w:charset w:val="8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425"/>
        </w:tabs>
        <w:ind w:start="425" w:hanging="425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425"/>
        </w:tabs>
        <w:ind w:start="425" w:hanging="425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40"/>
        </w:tabs>
        <w:ind w:start="240" w:hanging="240"/>
      </w:pPr>
      <w:rPr/>
    </w:lvl>
  </w:abstractNum>
  <w:abstractNum w:abstractNumId="5">
    <w:lvl w:ilvl="0"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425"/>
        </w:tabs>
        <w:ind w:start="425" w:hanging="42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바탕체" w:cs="Times New Roman"/>
      <w:color w:val="auto"/>
      <w:kern w:val="2"/>
      <w:sz w:val="20"/>
      <w:szCs w:val="20"/>
      <w:lang w:val="en-US" w:eastAsia="ko-KR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Style13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eastAsia="바탕체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eastAsia="바탕체" w:cs="Wingdings"/>
    </w:rPr>
  </w:style>
  <w:style w:type="character" w:styleId="Style12">
    <w:name w:val="기본 단락 글꼴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3">
    <w:name w:val="표준 밀어 맞춤"/>
    <w:basedOn w:val="Normal"/>
    <w:qFormat/>
    <w:pPr>
      <w:ind w:hanging="0" w:start="851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2001-05-11T00:19:00Z</dcterms:created>
  <dc:creator>석원준</dc:creator>
  <dc:description/>
  <dc:language>en-CA</dc:language>
  <cp:lastModifiedBy>skgas</cp:lastModifiedBy>
  <dcterms:modified xsi:type="dcterms:W3CDTF">2001-05-11T07:09:00Z</dcterms:modified>
  <cp:revision>6</cp:revision>
  <dc:subject/>
  <dc:title>Ratification for Contract of Affreightment (COA) with SK Shipping (Pressurized Type LPG Carrier) – SK Gas</dc:title>
</cp:coreProperties>
</file>