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Fonts w:eastAsia="굴림;Gulim"/>
          <w:sz w:val="40"/>
        </w:rPr>
        <w:t xml:space="preserve">Approval for </w:t>
      </w:r>
      <w:r>
        <w:rPr/>
        <w:t>EunKwang Gas Acquisition</w:t>
      </w:r>
    </w:p>
    <w:p>
      <w:pPr>
        <w:pStyle w:val="Style15"/>
        <w:ind w:end="180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-540" w:end="-81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               </w:t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  <w:t>1. Background</w:t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720" w:start="720" w:end="-81"/>
        <w:rPr/>
      </w:pPr>
      <w:r>
        <w:rPr>
          <w:rFonts w:eastAsia="Arial" w:cs="Arial" w:ascii="Arial" w:hAnsi="Arial"/>
        </w:rPr>
        <w:t xml:space="preserve">   </w:t>
      </w: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Rising </w:t>
      </w:r>
      <w:r>
        <w:rPr>
          <w:rFonts w:cs="Arial" w:ascii="Arial" w:hAnsi="Arial"/>
        </w:rPr>
        <w:t>necessity</w:t>
      </w:r>
      <w:r>
        <w:rPr>
          <w:rFonts w:cs="Arial" w:ascii="Arial" w:hAnsi="Arial"/>
        </w:rPr>
        <w:t xml:space="preserve"> of purchasing filling station or making alliance with the </w:t>
      </w:r>
      <w:r>
        <w:rPr>
          <w:rFonts w:cs="Arial" w:ascii="Arial" w:hAnsi="Arial"/>
        </w:rPr>
        <w:t>proprietor</w:t>
      </w:r>
      <w:r>
        <w:rPr>
          <w:rFonts w:cs="Arial" w:ascii="Arial" w:hAnsi="Arial"/>
        </w:rPr>
        <w:t xml:space="preserve"> in Pusan because SK Gas </w:t>
      </w:r>
      <w:r>
        <w:rPr>
          <w:rFonts w:cs="Arial" w:ascii="Arial" w:hAnsi="Arial"/>
        </w:rPr>
        <w:t>doesn’t</w:t>
      </w:r>
      <w:r>
        <w:rPr>
          <w:rFonts w:cs="Arial" w:ascii="Arial" w:hAnsi="Arial"/>
        </w:rPr>
        <w:t xml:space="preserve"> have any filling stations in Pusan, the second largest domestic market in Korea.</w:t>
      </w:r>
    </w:p>
    <w:p>
      <w:pPr>
        <w:pStyle w:val="Normal"/>
        <w:ind w:hanging="720" w:start="720" w:end="-8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720" w:start="720" w:end="-81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※</w:t>
      </w:r>
      <w:r>
        <w:rPr>
          <w:rFonts w:cs="Arial" w:ascii="Arial" w:hAnsi="Arial"/>
        </w:rPr>
        <w:t xml:space="preserve">Present States of filling stations in Pusan </w:t>
      </w:r>
    </w:p>
    <w:tbl>
      <w:tblPr>
        <w:tblW w:w="9180" w:type="dxa"/>
        <w:jc w:val="start"/>
        <w:tblInd w:w="81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340"/>
        <w:gridCol w:w="1368"/>
        <w:gridCol w:w="1368"/>
        <w:gridCol w:w="1368"/>
        <w:gridCol w:w="1368"/>
        <w:gridCol w:w="1368"/>
      </w:tblGrid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Classification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 Corp</w:t>
            </w:r>
          </w:p>
        </w:tc>
        <w:tc>
          <w:tcPr>
            <w:tcW w:w="1368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 Gas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LG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LG Gas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Others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Direct Management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Self Management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</w:tbl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720" w:start="720" w:end="-81"/>
        <w:rPr/>
      </w:pPr>
      <w:r>
        <w:rPr>
          <w:rFonts w:eastAsia="Arial" w:cs="Arial" w:ascii="Arial" w:hAnsi="Arial"/>
          <w:b/>
        </w:rPr>
        <w:t xml:space="preserve">   </w:t>
      </w: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The share holders of Eunkwang Gas which has been dealing wi</w:t>
      </w:r>
      <w:r>
        <w:rPr>
          <w:rFonts w:cs="Arial" w:ascii="Arial" w:hAnsi="Arial"/>
        </w:rPr>
        <w:t>th Hyundai Oil, wanted to sell all the stocks of it, so SK Gas bought them.</w:t>
      </w:r>
    </w:p>
    <w:p>
      <w:pPr>
        <w:pStyle w:val="Normal"/>
        <w:ind w:hanging="720" w:start="720" w:end="-8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720" w:start="720" w:end="-81"/>
        <w:rPr/>
      </w:pPr>
      <w:r>
        <w:rPr>
          <w:rFonts w:eastAsia="Arial" w:cs="Arial" w:ascii="Arial" w:hAnsi="Arial"/>
        </w:rPr>
        <w:t xml:space="preserve">   </w:t>
      </w: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If SK Gas merge Eunkwang Gas within 2 years after the purchase, SK Gas should pay for about 2.0 billion Won of corporate tax about liquidation.  As soon as the two years pass</w:t>
      </w:r>
      <w:r>
        <w:rPr>
          <w:rFonts w:cs="Arial" w:ascii="Arial" w:hAnsi="Arial"/>
        </w:rPr>
        <w:t xml:space="preserve">, SK Gas will merge Eunkwang to reduce negative DRD effect.  </w:t>
      </w:r>
    </w:p>
    <w:p>
      <w:pPr>
        <w:pStyle w:val="Normal"/>
        <w:ind w:hanging="720" w:start="720" w:end="-8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ind w:hanging="360" w:start="360"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Present status</w:t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540" w:type="dxa"/>
        <w:jc w:val="start"/>
        <w:tblInd w:w="45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160"/>
        <w:gridCol w:w="7380"/>
      </w:tblGrid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120" w:after="12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Classification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120" w:after="12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Contents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Address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/>
            </w:pPr>
            <w:r>
              <w:rPr>
                <w:rFonts w:cs="Arial" w:ascii="Arial" w:hAnsi="Arial"/>
              </w:rPr>
              <w:t xml:space="preserve">Kamchundong  805 </w:t>
            </w:r>
            <w:r>
              <w:rPr>
                <w:rFonts w:cs="Arial" w:ascii="Arial" w:hAnsi="Arial"/>
              </w:rPr>
              <w:t>–</w:t>
            </w:r>
            <w:r>
              <w:rPr>
                <w:rFonts w:cs="Arial" w:ascii="Arial" w:hAnsi="Arial"/>
              </w:rPr>
              <w:t xml:space="preserve"> 9, Saha-gu, Pusan Metropolitan city 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Type of Business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Combine C3 and C4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Land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557 Pyung ( 2,202.4 sq. yds)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Sales volume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C3 : 870t /month  C4 : 730t/month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23 persons </w:t>
            </w:r>
          </w:p>
        </w:tc>
      </w:tr>
      <w:tr>
        <w:trPr>
          <w:trHeight w:val="405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Sales Revenue</w:t>
            </w:r>
          </w:p>
        </w:tc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 billion won/ Year2000</w:t>
            </w:r>
          </w:p>
        </w:tc>
      </w:tr>
    </w:tbl>
    <w:p>
      <w:pPr>
        <w:pStyle w:val="Normal"/>
        <w:ind w:start="-540" w:end="-81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end="-81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1"/>
        </w:numPr>
        <w:ind w:hanging="360" w:start="360"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Procedure </w:t>
      </w:r>
    </w:p>
    <w:p>
      <w:pPr>
        <w:pStyle w:val="Normal"/>
        <w:ind w:end="-81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540" w:type="dxa"/>
        <w:jc w:val="start"/>
        <w:tblInd w:w="45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800"/>
        <w:gridCol w:w="4320"/>
        <w:gridCol w:w="3420"/>
      </w:tblGrid>
      <w:tr>
        <w:trPr>
          <w:trHeight w:val="39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60" w:after="0"/>
              <w:ind w:start="-99" w:end="-79"/>
              <w:rPr/>
            </w:pPr>
            <w:r>
              <w:rPr>
                <w:rFonts w:eastAsia="Arial" w:cs="Arial" w:ascii="Arial" w:hAnsi="Arial"/>
                <w:sz w:val="20"/>
              </w:rPr>
              <w:t xml:space="preserve">     </w:t>
            </w:r>
            <w:r>
              <w:rPr>
                <w:rFonts w:cs="Arial" w:ascii="Arial" w:hAnsi="Arial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</w:t>
            </w:r>
            <w:r>
              <w:rPr>
                <w:rFonts w:cs="Arial" w:ascii="Arial" w:hAnsi="Arial"/>
              </w:rPr>
              <w:t>Details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pacing w:before="120" w:after="0"/>
              <w:ind w:end="-7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Remarks</w:t>
            </w:r>
          </w:p>
        </w:tc>
      </w:tr>
      <w:tr>
        <w:trPr>
          <w:trHeight w:val="39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2000. 9. 6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Approved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By SK-Enron</w:t>
            </w:r>
          </w:p>
        </w:tc>
      </w:tr>
      <w:tr>
        <w:trPr>
          <w:trHeight w:val="39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2000. 11. 2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Signed the contract for purchase the Stock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/>
            </w:pPr>
            <w:r>
              <w:rPr>
                <w:rFonts w:cs="Arial" w:ascii="Arial" w:hAnsi="Arial"/>
              </w:rPr>
              <w:t>Paid 500mil won for contract deposit</w:t>
            </w:r>
          </w:p>
        </w:tc>
      </w:tr>
      <w:tr>
        <w:trPr>
          <w:trHeight w:val="465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2001. 2. 1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Took over the </w:t>
            </w:r>
            <w:r>
              <w:rPr>
                <w:rFonts w:cs="Arial" w:ascii="Arial" w:hAnsi="Arial"/>
              </w:rPr>
              <w:t>right of management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Paid 1.5 billion won</w:t>
            </w:r>
          </w:p>
        </w:tc>
      </w:tr>
      <w:tr>
        <w:trPr>
          <w:trHeight w:val="39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2001. 3. 9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Purchase the Stock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ind w:end="-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Pay 2.4 Billion won</w:t>
            </w:r>
          </w:p>
        </w:tc>
      </w:tr>
      <w:tr>
        <w:trPr>
          <w:trHeight w:val="390" w:hRule="atLeast"/>
        </w:trPr>
        <w:tc>
          <w:tcPr>
            <w:tcW w:w="95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end="-79"/>
              <w:rPr/>
            </w:pPr>
            <w:r>
              <w:rPr>
                <w:rFonts w:cs="바탕체" w:ascii="바탕체" w:hAnsi="바탕체"/>
              </w:rPr>
              <w:t>※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All Stock price : 4.4billion won</w:t>
            </w:r>
          </w:p>
        </w:tc>
      </w:tr>
    </w:tbl>
    <w:p>
      <w:pPr>
        <w:pStyle w:val="Normal"/>
        <w:ind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  <w:br/>
      </w:r>
    </w:p>
    <w:p>
      <w:pPr>
        <w:pStyle w:val="Normal"/>
        <w:numPr>
          <w:ilvl w:val="0"/>
          <w:numId w:val="1"/>
        </w:numPr>
        <w:ind w:hanging="360" w:start="360"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Effect</w:t>
      </w:r>
    </w:p>
    <w:p>
      <w:pPr>
        <w:pStyle w:val="Normal"/>
        <w:ind w:start="360"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360" w:start="720" w:end="180"/>
        <w:rPr/>
      </w:pP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Building the first Propane sales-network of SK Gas in Pusan which is</w:t>
      </w:r>
      <w:r>
        <w:rPr>
          <w:rFonts w:cs="Arial" w:ascii="Arial" w:hAnsi="Arial"/>
        </w:rPr>
        <w:t xml:space="preserve"> both the economic area of transport and the second largest domestic market.</w:t>
      </w:r>
    </w:p>
    <w:p>
      <w:pPr>
        <w:pStyle w:val="Normal"/>
        <w:ind w:start="360" w:end="180"/>
        <w:rPr/>
      </w:pP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Increasing net income before tax additionally : 1billion won</w:t>
      </w:r>
    </w:p>
    <w:p>
      <w:pPr>
        <w:pStyle w:val="Normal"/>
        <w:ind w:start="360" w:end="180"/>
        <w:rPr/>
      </w:pP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Increasing sales volume additionally : 21,458 ton/year</w:t>
      </w:r>
    </w:p>
    <w:p>
      <w:pPr>
        <w:pStyle w:val="Normal"/>
        <w:ind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1"/>
        </w:numPr>
        <w:ind w:hanging="360" w:start="360"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  <w:t>Economic Analysis</w:t>
      </w:r>
    </w:p>
    <w:p>
      <w:pPr>
        <w:pStyle w:val="Normal"/>
        <w:ind w:start="360" w:end="18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start="360" w:end="180"/>
        <w:rPr/>
      </w:pP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/>
        </w:rPr>
        <w:t>IRR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: 34.3%</w:t>
      </w:r>
    </w:p>
    <w:p>
      <w:pPr>
        <w:pStyle w:val="Normal"/>
        <w:ind w:start="360" w:end="180"/>
        <w:rPr/>
      </w:pPr>
      <w:r>
        <w:rPr>
          <w:rFonts w:cs="바탕체" w:ascii="바탕체" w:hAnsi="바탕체"/>
        </w:rPr>
        <w:t>▷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/>
        </w:rPr>
        <w:t>Payback period : 4years 7months</w:t>
      </w:r>
      <w:r>
        <w:rPr>
          <w:rFonts w:ascii="Arial" w:hAnsi="Arial" w:cs="Arial"/>
        </w:rPr>
        <w:t>【</w:t>
      </w:r>
      <w:r>
        <w:rPr>
          <w:rFonts w:cs="Arial" w:ascii="Arial" w:hAnsi="Arial"/>
        </w:rPr>
        <w:t>End</w:t>
      </w:r>
      <w:r>
        <w:rPr>
          <w:rFonts w:ascii="Arial" w:hAnsi="Arial" w:cs="Arial"/>
        </w:rPr>
        <w:t>】</w:t>
      </w:r>
    </w:p>
    <w:sectPr>
      <w:type w:val="nextPage"/>
      <w:pgSz w:w="11906" w:h="16838"/>
      <w:pgMar w:left="900" w:right="746" w:gutter="0" w:header="0" w:top="1258" w:footer="0" w:bottom="125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바탕체">
    <w:charset w:val="8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sz w:val="24"/>
      <w:szCs w:val="20"/>
      <w:lang w:val="en-US" w:eastAsia="ko-KR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eastAsia="바탕체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14">
    <w:name w:val="기본 단락 글꼴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5">
    <w:name w:val="날짜"/>
    <w:basedOn w:val="Normal"/>
    <w:next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2001-05-16T23:45:00Z</dcterms:created>
  <dc:creator>skgas</dc:creator>
  <dc:description/>
  <dc:language>en-CA</dc:language>
  <cp:lastModifiedBy>yhmoon</cp:lastModifiedBy>
  <cp:lastPrinted>2001-05-17T10:33:00Z</cp:lastPrinted>
  <dcterms:modified xsi:type="dcterms:W3CDTF">2001-05-16T23:45:00Z</dcterms:modified>
  <cp:revision>2</cp:revision>
  <dc:subject/>
  <dc:title>                    The present state of EunKwang Gas </dc:title>
</cp:coreProperties>
</file>