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굴림;Gulim"/>
          <w:b/>
          <w:sz w:val="36"/>
          <w:u w:val="single"/>
        </w:rPr>
      </w:pPr>
      <w:r>
        <w:rPr>
          <w:rFonts w:eastAsia="굴림;Gulim"/>
          <w:b/>
          <w:sz w:val="36"/>
          <w:u w:val="single"/>
        </w:rPr>
        <w:t xml:space="preserve">Approval for </w:t>
      </w:r>
    </w:p>
    <w:p>
      <w:pPr>
        <w:pStyle w:val="Heading4"/>
        <w:ind w:hanging="0" w:start="0"/>
        <w:rPr/>
      </w:pPr>
      <w:r>
        <w:rPr>
          <w:b/>
          <w:u w:val="single"/>
        </w:rPr>
        <w:t>Lease of Propane Filling Station From SK Global</w:t>
      </w:r>
    </w:p>
    <w:p>
      <w:pPr>
        <w:pStyle w:val="Normal"/>
        <w:rPr>
          <w:rFonts w:ascii="Arial" w:hAnsi="Arial" w:eastAsia="굴림;Gulim" w:cs="Arial"/>
          <w:b/>
          <w:sz w:val="26"/>
        </w:rPr>
      </w:pPr>
      <w:r>
        <w:rPr>
          <w:rFonts w:eastAsia="굴림;Gulim" w:cs="Arial" w:ascii="Arial" w:hAnsi="Arial"/>
          <w:b/>
          <w:sz w:val="26"/>
        </w:rPr>
      </w:r>
    </w:p>
    <w:p>
      <w:pPr>
        <w:pStyle w:val="Normal"/>
        <w:numPr>
          <w:ilvl w:val="0"/>
          <w:numId w:val="2"/>
        </w:numPr>
        <w:rPr>
          <w:rFonts w:ascii="Arial" w:hAnsi="Arial" w:eastAsia="굴림;Gulim" w:cs="Arial"/>
          <w:b/>
          <w:sz w:val="26"/>
        </w:rPr>
      </w:pPr>
      <w:r>
        <w:rPr>
          <w:rFonts w:eastAsia="굴림;Gulim" w:cs="Arial" w:ascii="Arial" w:hAnsi="Arial"/>
          <w:b/>
          <w:color w:val="000000"/>
          <w:sz w:val="26"/>
        </w:rPr>
        <w:t>Background</w:t>
      </w:r>
    </w:p>
    <w:p>
      <w:pPr>
        <w:pStyle w:val="Normal"/>
        <w:rPr>
          <w:rFonts w:ascii="Arial" w:hAnsi="Arial" w:eastAsia="굴림;Gulim" w:cs="Arial"/>
          <w:b/>
          <w:sz w:val="26"/>
        </w:rPr>
      </w:pPr>
      <w:r>
        <w:rPr>
          <w:rFonts w:eastAsia="굴림;Gulim" w:cs="Arial" w:ascii="Arial" w:hAnsi="Arial"/>
          <w:b/>
          <w:sz w:val="26"/>
        </w:rPr>
      </w:r>
    </w:p>
    <w:p>
      <w:pPr>
        <w:pStyle w:val="Normal"/>
        <w:autoSpaceDE w:val="false"/>
        <w:spacing w:lineRule="atLeast" w:line="240"/>
        <w:ind w:hanging="600" w:start="600" w:end="0"/>
        <w:rPr/>
      </w:pPr>
      <w:r>
        <w:rPr>
          <w:rFonts w:eastAsia="Arial" w:cs="Arial" w:ascii="Arial" w:hAnsi="Arial"/>
          <w:sz w:val="24"/>
        </w:rPr>
        <w:t xml:space="preserve">  </w:t>
      </w:r>
      <w:r>
        <w:rPr>
          <w:rFonts w:eastAsia="굴림;Gulim" w:cs="굴림;Gulim" w:ascii="굴림;Gulim" w:hAnsi="굴림;Gulim"/>
          <w:sz w:val="24"/>
        </w:rPr>
        <w:t>▷</w:t>
      </w:r>
      <w:r>
        <w:rPr>
          <w:rFonts w:eastAsia="Arial" w:cs="Arial" w:ascii="Arial" w:hAnsi="Arial"/>
          <w:sz w:val="24"/>
        </w:rPr>
        <w:t xml:space="preserve"> </w:t>
      </w:r>
      <w:r>
        <w:rPr>
          <w:rFonts w:eastAsia="굴림;Gulim" w:cs="Arial" w:ascii="Arial" w:hAnsi="Arial"/>
          <w:color w:val="000000"/>
          <w:sz w:val="24"/>
        </w:rPr>
        <w:t xml:space="preserve">SK </w:t>
      </w:r>
      <w:r>
        <w:rPr>
          <w:rFonts w:eastAsia="굴림;Gulim" w:cs="Arial" w:ascii="Arial" w:hAnsi="Arial"/>
          <w:color w:val="000000"/>
          <w:sz w:val="24"/>
        </w:rPr>
        <w:t xml:space="preserve">Corp &amp; </w:t>
      </w:r>
      <w:r>
        <w:rPr>
          <w:rFonts w:eastAsia="굴림;Gulim" w:cs="Arial" w:ascii="Arial" w:hAnsi="Arial"/>
          <w:color w:val="000000"/>
          <w:sz w:val="24"/>
        </w:rPr>
        <w:t xml:space="preserve">Global has a restructuring plan </w:t>
      </w:r>
      <w:r>
        <w:rPr>
          <w:rFonts w:eastAsia="굴림;Gulim" w:cs="Arial" w:ascii="Arial" w:hAnsi="Arial"/>
          <w:color w:val="000000"/>
          <w:sz w:val="24"/>
        </w:rPr>
        <w:t xml:space="preserve">in </w:t>
      </w:r>
      <w:r>
        <w:rPr>
          <w:rFonts w:eastAsia="굴림;Gulim" w:cs="Arial" w:ascii="Arial" w:hAnsi="Arial"/>
          <w:color w:val="000000"/>
          <w:sz w:val="24"/>
        </w:rPr>
        <w:t>propane business</w:t>
      </w:r>
      <w:r>
        <w:rPr>
          <w:rFonts w:eastAsia="굴림;Gulim" w:cs="Arial" w:ascii="Arial" w:hAnsi="Arial"/>
          <w:color w:val="000000"/>
          <w:sz w:val="24"/>
        </w:rPr>
        <w:t xml:space="preserve"> because they want to concentrate on their main business that is automotive fuel such as gasoline, diesel and butane.</w:t>
      </w:r>
    </w:p>
    <w:p>
      <w:pPr>
        <w:pStyle w:val="Normal"/>
        <w:autoSpaceDE w:val="false"/>
        <w:spacing w:lineRule="atLeast" w:line="240"/>
        <w:rPr>
          <w:rFonts w:ascii="Arial" w:hAnsi="Arial" w:eastAsia="굴림;Gulim" w:cs="Arial"/>
          <w:color w:val="000000"/>
          <w:sz w:val="24"/>
        </w:rPr>
      </w:pPr>
      <w:r>
        <w:rPr>
          <w:rFonts w:eastAsia="굴림;Gulim" w:cs="Arial" w:ascii="Arial" w:hAnsi="Arial"/>
          <w:color w:val="000000"/>
          <w:sz w:val="24"/>
        </w:rPr>
        <w:t xml:space="preserve">   ※ </w:t>
      </w:r>
      <w:r>
        <w:rPr>
          <w:rFonts w:eastAsia="굴림;Gulim" w:cs="Arial" w:ascii="Arial" w:hAnsi="Arial"/>
          <w:color w:val="000000"/>
          <w:sz w:val="24"/>
        </w:rPr>
        <w:t>Restructuring plan of SK Corp &amp; Global</w:t>
      </w:r>
    </w:p>
    <w:tbl>
      <w:tblPr>
        <w:tblW w:w="8920" w:type="dxa"/>
        <w:jc w:val="start"/>
        <w:tblInd w:w="539" w:type="dxa"/>
        <w:tblLayout w:type="fixed"/>
        <w:tblCellMar>
          <w:top w:w="0" w:type="dxa"/>
          <w:start w:w="99" w:type="dxa"/>
          <w:bottom w:w="0" w:type="dxa"/>
          <w:end w:w="99" w:type="dxa"/>
        </w:tblCellMar>
      </w:tblPr>
      <w:tblGrid>
        <w:gridCol w:w="2640"/>
        <w:gridCol w:w="4860"/>
        <w:gridCol w:w="1420"/>
      </w:tblGrid>
      <w:tr>
        <w:trPr/>
        <w:tc>
          <w:tcPr>
            <w:tcW w:w="26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 w:before="40" w:after="40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color w:val="000000"/>
                <w:sz w:val="24"/>
              </w:rPr>
              <w:t>F/S for restructuring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 w:before="40" w:after="40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color w:val="000000"/>
                <w:sz w:val="24"/>
              </w:rPr>
              <w:t>Action plan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 w:before="40" w:after="40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color w:val="000000"/>
                <w:sz w:val="24"/>
              </w:rPr>
              <w:t>Due by</w:t>
            </w:r>
          </w:p>
        </w:tc>
      </w:tr>
      <w:tr>
        <w:trPr/>
        <w:tc>
          <w:tcPr>
            <w:tcW w:w="26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 w:before="40" w:after="40"/>
              <w:ind w:hanging="401" w:start="401" w:end="0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굴림;Gulim" w:ascii="굴림;Gulim" w:hAnsi="굴림;Gulim"/>
                <w:color w:val="000000"/>
                <w:sz w:val="24"/>
              </w:rPr>
              <w:t>◇</w:t>
            </w:r>
            <w:r>
              <w:rPr>
                <w:rFonts w:eastAsia="Arial" w:cs="Arial" w:ascii="Arial" w:hAnsi="Arial"/>
                <w:color w:val="000000"/>
                <w:sz w:val="24"/>
              </w:rPr>
              <w:t xml:space="preserve"> </w:t>
            </w:r>
            <w:r>
              <w:rPr>
                <w:rFonts w:eastAsia="굴림;Gulim" w:cs="Arial" w:ascii="Arial" w:hAnsi="Arial"/>
                <w:color w:val="000000"/>
                <w:sz w:val="24"/>
              </w:rPr>
              <w:t>3</w:t>
            </w:r>
            <w:r>
              <w:rPr>
                <w:rFonts w:eastAsia="굴림;Gulim" w:cs="Arial" w:ascii="Arial" w:hAnsi="Arial"/>
                <w:color w:val="000000"/>
                <w:sz w:val="24"/>
              </w:rPr>
              <w:t>2</w:t>
            </w:r>
            <w:r>
              <w:rPr>
                <w:rFonts w:eastAsia="굴림;Gulim" w:cs="Arial" w:ascii="Arial" w:hAnsi="Arial"/>
                <w:color w:val="000000"/>
                <w:sz w:val="24"/>
              </w:rPr>
              <w:t xml:space="preserve"> F/S owned by SK Global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 w:before="40" w:after="40"/>
              <w:rPr>
                <w:rFonts w:ascii="Arial" w:hAnsi="Arial" w:eastAsia="굴림;Gulim" w:cs="Arial"/>
                <w:color w:val="000000"/>
                <w:sz w:val="24"/>
              </w:rPr>
            </w:pPr>
            <w:r>
              <w:rPr>
                <w:rFonts w:eastAsia="굴림;Gulim" w:cs="Arial" w:ascii="Arial" w:hAnsi="Arial"/>
                <w:color w:val="000000"/>
                <w:sz w:val="24"/>
              </w:rPr>
              <w:t>- Sell-off</w:t>
            </w:r>
          </w:p>
          <w:p>
            <w:pPr>
              <w:pStyle w:val="Normal"/>
              <w:autoSpaceDE w:val="false"/>
              <w:spacing w:lineRule="atLeast" w:line="240" w:before="40" w:after="40"/>
              <w:rPr>
                <w:rFonts w:ascii="Arial" w:hAnsi="Arial" w:eastAsia="굴림;Gulim" w:cs="Arial"/>
                <w:color w:val="000000"/>
                <w:sz w:val="24"/>
              </w:rPr>
            </w:pPr>
            <w:r>
              <w:rPr>
                <w:rFonts w:eastAsia="굴림;Gulim" w:cs="Arial" w:ascii="Arial" w:hAnsi="Arial"/>
                <w:color w:val="000000"/>
                <w:sz w:val="24"/>
              </w:rPr>
              <w:t>- Lease</w:t>
            </w:r>
          </w:p>
          <w:p>
            <w:pPr>
              <w:pStyle w:val="Normal"/>
              <w:autoSpaceDE w:val="false"/>
              <w:spacing w:lineRule="atLeast" w:line="240" w:before="40" w:after="40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color w:val="000000"/>
                <w:sz w:val="24"/>
              </w:rPr>
              <w:t>- Use for other purpose after scrapping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 w:before="40" w:after="40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color w:val="000000"/>
                <w:sz w:val="24"/>
              </w:rPr>
              <w:t>First half of 2001</w:t>
            </w:r>
          </w:p>
        </w:tc>
      </w:tr>
    </w:tbl>
    <w:p>
      <w:pPr>
        <w:pStyle w:val="Normal"/>
        <w:rPr>
          <w:rFonts w:ascii="Arial" w:hAnsi="Arial" w:eastAsia="굴림;Gulim" w:cs="Arial"/>
          <w:sz w:val="24"/>
        </w:rPr>
      </w:pPr>
      <w:r>
        <w:rPr>
          <w:rFonts w:eastAsia="굴림;Gulim" w:cs="Arial" w:ascii="Arial" w:hAnsi="Arial"/>
          <w:sz w:val="24"/>
        </w:rPr>
      </w:r>
    </w:p>
    <w:p>
      <w:pPr>
        <w:pStyle w:val="Normal"/>
        <w:tabs>
          <w:tab w:val="clear" w:pos="851"/>
          <w:tab w:val="left" w:pos="240" w:leader="none"/>
        </w:tabs>
        <w:rPr>
          <w:rFonts w:ascii="Arial" w:hAnsi="Arial" w:eastAsia="굴림;Gulim" w:cs="Arial"/>
          <w:sz w:val="24"/>
        </w:rPr>
      </w:pPr>
      <w:r>
        <w:rPr>
          <w:rFonts w:eastAsia="굴림;Gulim" w:cs="Arial" w:ascii="Arial" w:hAnsi="Arial"/>
          <w:sz w:val="24"/>
        </w:rPr>
        <w:t xml:space="preserve">  ▷ </w:t>
      </w:r>
      <w:r>
        <w:rPr>
          <w:rFonts w:eastAsia="굴림;Gulim" w:cs="Arial" w:ascii="Arial" w:hAnsi="Arial"/>
          <w:color w:val="000000"/>
          <w:sz w:val="24"/>
        </w:rPr>
        <w:t xml:space="preserve">Valuation(Impact on SK </w:t>
      </w:r>
      <w:r>
        <w:rPr>
          <w:rFonts w:eastAsia="굴림;Gulim" w:cs="Arial" w:ascii="Arial" w:hAnsi="Arial"/>
          <w:sz w:val="24"/>
        </w:rPr>
        <w:t xml:space="preserve">Gas) by </w:t>
      </w:r>
      <w:r>
        <w:rPr>
          <w:rFonts w:eastAsia="굴림;Gulim" w:cs="Arial" w:ascii="Arial" w:hAnsi="Arial"/>
          <w:color w:val="000000"/>
          <w:sz w:val="24"/>
        </w:rPr>
        <w:t>R</w:t>
      </w:r>
      <w:r>
        <w:rPr>
          <w:rFonts w:eastAsia="굴림;Gulim" w:cs="Arial" w:ascii="Arial" w:hAnsi="Arial"/>
          <w:color w:val="000000"/>
          <w:sz w:val="24"/>
        </w:rPr>
        <w:t>estructuring plan</w:t>
      </w:r>
      <w:r>
        <w:rPr>
          <w:rFonts w:eastAsia="굴림;Gulim" w:cs="Arial" w:ascii="Arial" w:hAnsi="Arial"/>
          <w:color w:val="000000"/>
          <w:sz w:val="24"/>
        </w:rPr>
        <w:t xml:space="preserve"> of </w:t>
      </w:r>
      <w:r>
        <w:rPr>
          <w:rFonts w:eastAsia="굴림;Gulim" w:cs="Arial" w:ascii="Arial" w:hAnsi="Arial"/>
          <w:color w:val="000000"/>
          <w:sz w:val="24"/>
        </w:rPr>
        <w:t xml:space="preserve">SK </w:t>
      </w:r>
      <w:r>
        <w:rPr>
          <w:rFonts w:eastAsia="굴림;Gulim" w:cs="Arial" w:ascii="Arial" w:hAnsi="Arial"/>
          <w:color w:val="000000"/>
          <w:sz w:val="24"/>
        </w:rPr>
        <w:t xml:space="preserve">Corp &amp; </w:t>
      </w:r>
      <w:r>
        <w:rPr>
          <w:rFonts w:eastAsia="굴림;Gulim" w:cs="Arial" w:ascii="Arial" w:hAnsi="Arial"/>
          <w:color w:val="000000"/>
          <w:sz w:val="24"/>
        </w:rPr>
        <w:t>Global</w:t>
      </w:r>
      <w:r>
        <w:rPr>
          <w:rFonts w:eastAsia="굴림;Gulim" w:cs="Arial" w:ascii="Arial" w:hAnsi="Arial"/>
          <w:color w:val="000000"/>
          <w:sz w:val="24"/>
        </w:rPr>
        <w:t xml:space="preserve">   </w:t>
        <w:br/>
        <w:t xml:space="preserve">  </w:t>
      </w:r>
      <w:r>
        <w:rPr>
          <w:rFonts w:eastAsia="굴림;Gulim" w:cs="Arial" w:ascii="Arial" w:hAnsi="Arial"/>
          <w:sz w:val="24"/>
        </w:rPr>
        <w:t xml:space="preserve">                                                                (Million Won)</w:t>
      </w:r>
    </w:p>
    <w:tbl>
      <w:tblPr>
        <w:tblW w:w="8960" w:type="dxa"/>
        <w:jc w:val="start"/>
        <w:tblInd w:w="499" w:type="dxa"/>
        <w:tblLayout w:type="fixed"/>
        <w:tblCellMar>
          <w:top w:w="0" w:type="dxa"/>
          <w:start w:w="99" w:type="dxa"/>
          <w:bottom w:w="0" w:type="dxa"/>
          <w:end w:w="99" w:type="dxa"/>
        </w:tblCellMar>
      </w:tblPr>
      <w:tblGrid>
        <w:gridCol w:w="1880"/>
        <w:gridCol w:w="1416"/>
        <w:gridCol w:w="1416"/>
        <w:gridCol w:w="1416"/>
        <w:gridCol w:w="1416"/>
        <w:gridCol w:w="1416"/>
      </w:tblGrid>
      <w:tr>
        <w:trPr/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Classification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Budget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Case A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Case B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Case C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Case D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 xml:space="preserve">Income 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18,518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6,728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11,013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7,712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22,026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 xml:space="preserve">Expense 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2,754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1,047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1,436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1,017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5,255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Alliance money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618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-</w:t>
            </w:r>
          </w:p>
        </w:tc>
      </w:tr>
      <w:tr>
        <w:trPr/>
        <w:tc>
          <w:tcPr>
            <w:tcW w:w="1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 xml:space="preserve">Profit  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15,764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5,681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8,959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6,695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16,771</w:t>
            </w:r>
          </w:p>
        </w:tc>
      </w:tr>
    </w:tbl>
    <w:p>
      <w:pPr>
        <w:pStyle w:val="Normal"/>
        <w:ind w:hanging="720" w:start="720" w:end="0"/>
        <w:rPr/>
      </w:pPr>
      <w:r>
        <w:rPr>
          <w:rFonts w:eastAsia="Arial" w:cs="Arial" w:ascii="Arial" w:hAnsi="Arial"/>
          <w:sz w:val="24"/>
        </w:rPr>
        <w:t xml:space="preserve">    </w:t>
      </w:r>
      <w:r>
        <w:rPr>
          <w:rFonts w:eastAsia="굴림;Gulim" w:cs="굴림;Gulim" w:ascii="굴림;Gulim" w:hAnsi="굴림;Gulim"/>
          <w:b/>
          <w:sz w:val="24"/>
        </w:rPr>
        <w:t>※</w:t>
      </w:r>
      <w:r>
        <w:rPr>
          <w:rFonts w:eastAsia="굴림;Gulim" w:cs="Arial" w:ascii="Arial" w:hAnsi="Arial"/>
          <w:b/>
          <w:sz w:val="24"/>
          <w:u w:val="single"/>
        </w:rPr>
        <w:t>The profit from the Lease is expected to be higher than budget profit and the profit of any other scenarios.</w:t>
      </w:r>
    </w:p>
    <w:p>
      <w:pPr>
        <w:pStyle w:val="Normal"/>
        <w:rPr>
          <w:rFonts w:ascii="Arial" w:hAnsi="Arial" w:eastAsia="굴림;Gulim" w:cs="Arial"/>
          <w:b/>
          <w:sz w:val="24"/>
          <w:u w:val="single"/>
        </w:rPr>
      </w:pPr>
      <w:r>
        <w:rPr>
          <w:rFonts w:eastAsia="굴림;Gulim" w:cs="Arial" w:ascii="Arial" w:hAnsi="Arial"/>
          <w:b/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rFonts w:eastAsia="Arial" w:cs="Arial" w:ascii="Arial" w:hAnsi="Arial"/>
          <w:sz w:val="24"/>
        </w:rPr>
        <w:t xml:space="preserve">   </w:t>
      </w:r>
      <w:r>
        <w:rPr>
          <w:rFonts w:eastAsia="굴림;Gulim" w:cs="굴림;Gulim" w:ascii="굴림;Gulim" w:hAnsi="굴림;Gulim"/>
          <w:sz w:val="24"/>
        </w:rPr>
        <w:t>※</w:t>
      </w:r>
      <w:r>
        <w:rPr>
          <w:rFonts w:eastAsia="굴림;Gulim" w:cs="Arial" w:ascii="Arial" w:hAnsi="Arial"/>
          <w:sz w:val="24"/>
        </w:rPr>
        <w:t>Assumptions</w:t>
      </w:r>
    </w:p>
    <w:p>
      <w:pPr>
        <w:pStyle w:val="Normal"/>
        <w:numPr>
          <w:ilvl w:val="0"/>
          <w:numId w:val="3"/>
        </w:numPr>
        <w:ind w:firstLine="345" w:start="255" w:end="0"/>
        <w:rPr>
          <w:rFonts w:ascii="Arial" w:hAnsi="Arial" w:eastAsia="굴림;Gulim" w:cs="Arial"/>
          <w:sz w:val="24"/>
        </w:rPr>
      </w:pPr>
      <w:r>
        <w:rPr>
          <w:rFonts w:eastAsia="굴림;Gulim" w:cs="Arial" w:ascii="Arial" w:hAnsi="Arial"/>
          <w:sz w:val="24"/>
        </w:rPr>
        <w:t>Sales Volume : 426,156 ton/year</w:t>
      </w:r>
    </w:p>
    <w:p>
      <w:pPr>
        <w:pStyle w:val="Normal"/>
        <w:numPr>
          <w:ilvl w:val="0"/>
          <w:numId w:val="3"/>
        </w:numPr>
        <w:ind w:firstLine="345" w:start="255" w:end="0"/>
        <w:rPr>
          <w:rFonts w:ascii="Arial" w:hAnsi="Arial" w:eastAsia="굴림;Gulim" w:cs="Arial"/>
          <w:sz w:val="24"/>
        </w:rPr>
      </w:pPr>
      <w:r>
        <w:rPr>
          <w:rFonts w:eastAsia="굴림;Gulim" w:cs="Arial" w:ascii="Arial" w:hAnsi="Arial"/>
          <w:sz w:val="24"/>
        </w:rPr>
        <w:t>Contribution Margin : 41,545 won/ton</w:t>
      </w:r>
    </w:p>
    <w:p>
      <w:pPr>
        <w:pStyle w:val="Normal"/>
        <w:numPr>
          <w:ilvl w:val="0"/>
          <w:numId w:val="3"/>
        </w:numPr>
        <w:ind w:firstLine="345" w:start="255" w:end="0"/>
        <w:rPr>
          <w:rFonts w:ascii="Arial" w:hAnsi="Arial" w:eastAsia="굴림;Gulim" w:cs="Arial"/>
          <w:sz w:val="24"/>
        </w:rPr>
      </w:pPr>
      <w:r>
        <w:rPr>
          <w:rFonts w:eastAsia="굴림;Gulim" w:cs="Arial" w:ascii="Arial" w:hAnsi="Arial"/>
          <w:sz w:val="24"/>
        </w:rPr>
        <w:t>UTC (Unit Transportation Cost) : 26,979won/ton</w:t>
      </w:r>
    </w:p>
    <w:p>
      <w:pPr>
        <w:pStyle w:val="Normal"/>
        <w:ind w:start="255" w:end="0"/>
        <w:rPr/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eastAsia="굴림;Gulim" w:cs="굴림;Gulim" w:ascii="굴림;Gulim" w:hAnsi="굴림;Gulim"/>
          <w:sz w:val="24"/>
        </w:rPr>
        <w:t>※</w:t>
      </w:r>
      <w:r>
        <w:rPr>
          <w:rFonts w:eastAsia="굴림;Gulim" w:cs="Arial" w:ascii="Arial" w:hAnsi="Arial"/>
          <w:sz w:val="24"/>
        </w:rPr>
        <w:t>Scenario of</w:t>
      </w:r>
      <w:r>
        <w:rPr>
          <w:rFonts w:eastAsia="굴림;Gulim" w:cs="Arial" w:ascii="Arial" w:hAnsi="Arial"/>
          <w:sz w:val="24"/>
        </w:rPr>
        <w:t xml:space="preserve"> SK Global</w:t>
      </w:r>
    </w:p>
    <w:p>
      <w:pPr>
        <w:pStyle w:val="Heading2"/>
        <w:rPr>
          <w:rFonts w:ascii="Arial" w:hAnsi="Arial" w:eastAsia="굴림;Gulim" w:cs="Arial"/>
        </w:rPr>
      </w:pPr>
      <w:r>
        <w:rPr>
          <w:rFonts w:eastAsia="굴림;Gulim" w:cs="Arial" w:ascii="Arial" w:hAnsi="Arial"/>
        </w:rPr>
        <w:t>A : Selling off or Lease to Competitor, HD-oil</w:t>
      </w:r>
    </w:p>
    <w:p>
      <w:pPr>
        <w:pStyle w:val="Normal"/>
        <w:ind w:hanging="1040" w:start="1040" w:end="0"/>
        <w:rPr/>
      </w:pPr>
      <w:r>
        <w:rPr>
          <w:rFonts w:eastAsia="Arial" w:cs="Arial" w:ascii="Arial" w:hAnsi="Arial"/>
          <w:sz w:val="24"/>
        </w:rPr>
        <w:t xml:space="preserve">        </w:t>
      </w:r>
      <w:r>
        <w:rPr>
          <w:rFonts w:eastAsia="굴림;Gulim" w:cs="Arial" w:ascii="Arial" w:hAnsi="Arial"/>
          <w:sz w:val="24"/>
        </w:rPr>
        <w:t>(In case of LG, SK Gas</w:t>
      </w:r>
      <w:r>
        <w:rPr>
          <w:rFonts w:eastAsia="굴림;Gulim" w:cs="Arial" w:ascii="Arial" w:hAnsi="Arial"/>
          <w:sz w:val="24"/>
        </w:rPr>
        <w:t>’</w:t>
      </w:r>
      <w:r>
        <w:rPr>
          <w:rFonts w:eastAsia="굴림;Gulim" w:cs="Arial" w:ascii="Arial" w:hAnsi="Arial"/>
          <w:sz w:val="24"/>
        </w:rPr>
        <w:t xml:space="preserve"> sales volume will be Zero. And HD-oil</w:t>
      </w:r>
      <w:r>
        <w:rPr>
          <w:rFonts w:eastAsia="굴림;Gulim" w:cs="Arial" w:ascii="Arial" w:hAnsi="Arial"/>
          <w:sz w:val="24"/>
        </w:rPr>
        <w:t>’</w:t>
      </w:r>
      <w:r>
        <w:rPr>
          <w:rFonts w:eastAsia="굴림;Gulim" w:cs="Arial" w:ascii="Arial" w:hAnsi="Arial"/>
          <w:sz w:val="24"/>
        </w:rPr>
        <w:t>s purchasing rate of 38% from SK Gas is higher than S-oil</w:t>
      </w:r>
      <w:r>
        <w:rPr>
          <w:rFonts w:eastAsia="굴림;Gulim" w:cs="Arial" w:ascii="Arial" w:hAnsi="Arial"/>
          <w:sz w:val="24"/>
        </w:rPr>
        <w:t>’</w:t>
      </w:r>
      <w:r>
        <w:rPr>
          <w:rFonts w:eastAsia="굴림;Gulim" w:cs="Arial" w:ascii="Arial" w:hAnsi="Arial"/>
          <w:sz w:val="24"/>
        </w:rPr>
        <w:t>s rate of 35%)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</w:t>
      </w:r>
      <w:r>
        <w:rPr>
          <w:rFonts w:eastAsia="굴림;Gulim" w:cs="Arial" w:ascii="Arial" w:hAnsi="Arial"/>
          <w:sz w:val="24"/>
        </w:rPr>
        <w:t>B : Selling off or Lease to Private Investors (SK and LG are likely to evenly share)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</w:t>
      </w:r>
      <w:r>
        <w:rPr>
          <w:rFonts w:eastAsia="굴림;Gulim" w:cs="Arial" w:ascii="Arial" w:hAnsi="Arial"/>
          <w:sz w:val="24"/>
        </w:rPr>
        <w:t>C : Scrap</w:t>
      </w:r>
    </w:p>
    <w:p>
      <w:pPr>
        <w:pStyle w:val="Normal"/>
        <w:ind w:hanging="1060" w:start="1060" w:end="0"/>
        <w:rPr/>
      </w:pPr>
      <w:r>
        <w:rPr>
          <w:rFonts w:eastAsia="Arial" w:cs="Arial" w:ascii="Arial" w:hAnsi="Arial"/>
          <w:sz w:val="24"/>
        </w:rPr>
        <w:t xml:space="preserve">        </w:t>
      </w:r>
      <w:r>
        <w:rPr>
          <w:rFonts w:eastAsia="굴림;Gulim" w:cs="Arial" w:ascii="Arial" w:hAnsi="Arial"/>
          <w:sz w:val="24"/>
        </w:rPr>
        <w:t>(SK</w:t>
      </w:r>
      <w:r>
        <w:rPr>
          <w:rFonts w:eastAsia="굴림;Gulim" w:cs="Arial" w:ascii="Arial" w:hAnsi="Arial"/>
          <w:sz w:val="24"/>
        </w:rPr>
        <w:t>’</w:t>
      </w:r>
      <w:r>
        <w:rPr>
          <w:rFonts w:eastAsia="굴림;Gulim" w:cs="Arial" w:ascii="Arial" w:hAnsi="Arial"/>
          <w:sz w:val="24"/>
        </w:rPr>
        <w:t xml:space="preserve">s revised market share(40.8% </w:t>
      </w:r>
      <w:r>
        <w:rPr>
          <w:rFonts w:eastAsia="굴림;Gulim" w:cs="굴림;Gulim" w:ascii="굴림;Gulim" w:hAnsi="굴림;Gulim"/>
          <w:sz w:val="24"/>
        </w:rPr>
        <w:t>→</w:t>
      </w:r>
      <w:r>
        <w:rPr>
          <w:rFonts w:eastAsia="굴림;Gulim" w:cs="Arial" w:ascii="Arial" w:hAnsi="Arial"/>
          <w:sz w:val="24"/>
        </w:rPr>
        <w:t>28.6% ) volume 121,881ton + HD &amp; S-oil</w:t>
      </w:r>
      <w:r>
        <w:rPr>
          <w:rFonts w:eastAsia="굴림;Gulim" w:cs="Arial" w:ascii="Arial" w:hAnsi="Arial"/>
          <w:sz w:val="24"/>
        </w:rPr>
        <w:t>’</w:t>
      </w:r>
      <w:r>
        <w:rPr>
          <w:rFonts w:eastAsia="굴림;Gulim" w:cs="Arial" w:ascii="Arial" w:hAnsi="Arial"/>
          <w:sz w:val="24"/>
        </w:rPr>
        <w:t>s purchasing volume 34,000ton)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    </w:t>
      </w:r>
      <w:r>
        <w:rPr>
          <w:rFonts w:eastAsia="굴림;Gulim" w:cs="Arial" w:ascii="Arial" w:hAnsi="Arial"/>
          <w:sz w:val="24"/>
        </w:rPr>
        <w:t xml:space="preserve">D : Lease to SK Gas </w:t>
      </w:r>
    </w:p>
    <w:p>
      <w:pPr>
        <w:pStyle w:val="Normal"/>
        <w:rPr>
          <w:rFonts w:ascii="Arial" w:hAnsi="Arial" w:eastAsia="굴림;Gulim" w:cs="Arial"/>
          <w:sz w:val="24"/>
        </w:rPr>
      </w:pPr>
      <w:r>
        <w:rPr>
          <w:rFonts w:eastAsia="굴림;Gulim" w:cs="Arial" w:ascii="Arial" w:hAnsi="Arial"/>
          <w:sz w:val="24"/>
        </w:rPr>
      </w:r>
    </w:p>
    <w:p>
      <w:pPr>
        <w:pStyle w:val="Normal"/>
        <w:ind w:firstLine="240" w:end="0"/>
        <w:rPr>
          <w:sz w:val="24"/>
        </w:rPr>
      </w:pPr>
      <w:r>
        <w:rPr>
          <w:rFonts w:eastAsia="굴림;Gulim" w:cs="굴림;Gulim" w:ascii="굴림;Gulim" w:hAnsi="굴림;Gulim"/>
          <w:sz w:val="24"/>
        </w:rPr>
        <w:t>▷</w:t>
      </w:r>
      <w:r>
        <w:rPr>
          <w:rFonts w:eastAsia="Arial" w:cs="Arial" w:ascii="Arial" w:hAnsi="Arial"/>
          <w:sz w:val="24"/>
        </w:rPr>
        <w:t xml:space="preserve"> </w:t>
      </w:r>
      <w:r>
        <w:rPr>
          <w:rFonts w:eastAsia="굴림;Gulim" w:cs="Arial" w:ascii="Arial" w:hAnsi="Arial"/>
          <w:sz w:val="24"/>
        </w:rPr>
        <w:t>Reason for SK Gas to lease F/S</w:t>
      </w:r>
    </w:p>
    <w:p>
      <w:pPr>
        <w:pStyle w:val="BodyTextIndent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</w:t>
      </w:r>
      <w:r>
        <w:rPr>
          <w:rFonts w:eastAsia="굴림;Gulim" w:cs="Arial" w:ascii="Arial" w:hAnsi="Arial"/>
        </w:rPr>
        <w:t>- Secure the sales volume and contribution margin for 2001 Budget</w:t>
      </w:r>
    </w:p>
    <w:p>
      <w:pPr>
        <w:pStyle w:val="2"/>
        <w:rPr/>
      </w:pPr>
      <w:r>
        <w:rPr>
          <w:rFonts w:eastAsia="Arial" w:cs="Arial" w:ascii="Arial" w:hAnsi="Arial"/>
        </w:rPr>
        <w:t xml:space="preserve">     </w:t>
      </w:r>
      <w:r>
        <w:rPr>
          <w:rFonts w:eastAsia="굴림;Gulim" w:cs="Arial" w:ascii="Arial" w:hAnsi="Arial"/>
        </w:rPr>
        <w:t>- If not lease, all of filling stations are scrappe</w:t>
      </w:r>
      <w:r>
        <w:rPr>
          <w:rFonts w:eastAsia="굴림;Gulim" w:cs="Arial" w:ascii="Arial" w:hAnsi="Arial"/>
        </w:rPr>
        <w:t>d, or LG or other competitors take the stations, the loss of budget profit will be expected 6.8 bill. Won to 15.7 bill. Won per year.</w:t>
      </w:r>
    </w:p>
    <w:p>
      <w:pPr>
        <w:pStyle w:val="Normal"/>
        <w:rPr>
          <w:rFonts w:ascii="Arial" w:hAnsi="Arial" w:eastAsia="굴림;Gulim" w:cs="Arial"/>
          <w:sz w:val="24"/>
        </w:rPr>
      </w:pPr>
      <w:r>
        <w:rPr>
          <w:rFonts w:eastAsia="굴림;Gulim" w:cs="Arial" w:ascii="Arial" w:hAnsi="Arial"/>
          <w:sz w:val="24"/>
        </w:rPr>
      </w:r>
    </w:p>
    <w:p>
      <w:pPr>
        <w:pStyle w:val="Normal"/>
        <w:rPr/>
      </w:pPr>
      <w:r>
        <w:rPr>
          <w:rFonts w:eastAsia="굴림;Gulim" w:cs="Arial" w:ascii="Arial" w:hAnsi="Arial"/>
          <w:b/>
          <w:sz w:val="26"/>
        </w:rPr>
        <w:t>2. Outline</w:t>
      </w:r>
      <w:r>
        <w:rPr/>
        <w:t>(Lease of Propane Filling Station)</w:t>
      </w:r>
    </w:p>
    <w:tbl>
      <w:tblPr>
        <w:tblW w:w="9120" w:type="dxa"/>
        <w:jc w:val="start"/>
        <w:tblInd w:w="359" w:type="dxa"/>
        <w:tblLayout w:type="fixed"/>
        <w:tblCellMar>
          <w:top w:w="0" w:type="dxa"/>
          <w:start w:w="99" w:type="dxa"/>
          <w:bottom w:w="0" w:type="dxa"/>
          <w:end w:w="99" w:type="dxa"/>
        </w:tblCellMar>
      </w:tblPr>
      <w:tblGrid>
        <w:gridCol w:w="2060"/>
        <w:gridCol w:w="7060"/>
      </w:tblGrid>
      <w:tr>
        <w:trPr/>
        <w:tc>
          <w:tcPr>
            <w:tcW w:w="2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</w:r>
          </w:p>
        </w:tc>
        <w:tc>
          <w:tcPr>
            <w:tcW w:w="7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Contents</w:t>
            </w:r>
          </w:p>
        </w:tc>
      </w:tr>
      <w:tr>
        <w:trPr/>
        <w:tc>
          <w:tcPr>
            <w:tcW w:w="2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Number of F/S run by SK Global</w:t>
            </w:r>
          </w:p>
        </w:tc>
        <w:tc>
          <w:tcPr>
            <w:tcW w:w="7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32 stations</w:t>
            </w:r>
          </w:p>
        </w:tc>
      </w:tr>
      <w:tr>
        <w:trPr/>
        <w:tc>
          <w:tcPr>
            <w:tcW w:w="2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Number of leased F/S</w:t>
            </w:r>
          </w:p>
        </w:tc>
        <w:tc>
          <w:tcPr>
            <w:tcW w:w="7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24(out of which 8 will be scrapped)</w:t>
            </w:r>
          </w:p>
        </w:tc>
      </w:tr>
      <w:tr>
        <w:trPr/>
        <w:tc>
          <w:tcPr>
            <w:tcW w:w="2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Sales volume</w:t>
            </w:r>
          </w:p>
        </w:tc>
        <w:tc>
          <w:tcPr>
            <w:tcW w:w="7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426.2KT/year</w:t>
            </w:r>
          </w:p>
        </w:tc>
      </w:tr>
      <w:tr>
        <w:trPr/>
        <w:tc>
          <w:tcPr>
            <w:tcW w:w="2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Lease fee</w:t>
            </w:r>
          </w:p>
        </w:tc>
        <w:tc>
          <w:tcPr>
            <w:tcW w:w="7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Arial" w:hAnsi="Arial" w:eastAsia="굴림;Gulim" w:cs="Arial"/>
                <w:sz w:val="26"/>
              </w:rPr>
            </w:pPr>
            <w:r>
              <w:rPr>
                <w:rFonts w:eastAsia="굴림;Gulim" w:cs="Arial" w:ascii="Arial" w:hAnsi="Arial"/>
                <w:sz w:val="26"/>
              </w:rPr>
              <w:t>7% of asset value(approximately 4.3 billion won/year)</w:t>
            </w:r>
          </w:p>
        </w:tc>
      </w:tr>
      <w:tr>
        <w:trPr/>
        <w:tc>
          <w:tcPr>
            <w:tcW w:w="2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Lease period</w:t>
            </w:r>
          </w:p>
        </w:tc>
        <w:tc>
          <w:tcPr>
            <w:tcW w:w="7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Arial" w:hAnsi="Arial" w:eastAsia="굴림;Gulim" w:cs="Arial"/>
                <w:sz w:val="26"/>
              </w:rPr>
            </w:pPr>
            <w:r>
              <w:rPr>
                <w:rFonts w:eastAsia="굴림;Gulim" w:cs="Arial" w:ascii="Arial" w:hAnsi="Arial"/>
                <w:sz w:val="26"/>
              </w:rPr>
              <w:t>Initially 5years and then renew the contract on yearly basis</w:t>
            </w:r>
          </w:p>
        </w:tc>
      </w:tr>
      <w:tr>
        <w:trPr/>
        <w:tc>
          <w:tcPr>
            <w:tcW w:w="2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굴림;Gulim" w:cs="Arial"/>
                <w:sz w:val="24"/>
              </w:rPr>
            </w:pPr>
            <w:r>
              <w:rPr>
                <w:rFonts w:eastAsia="굴림;Gulim" w:cs="Arial" w:ascii="Arial" w:hAnsi="Arial"/>
                <w:sz w:val="24"/>
              </w:rPr>
              <w:t>Others</w:t>
            </w:r>
          </w:p>
        </w:tc>
        <w:tc>
          <w:tcPr>
            <w:tcW w:w="7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eastAsia="굴림;Gulim" w:cs="Arial" w:ascii="Arial" w:hAnsi="Arial"/>
                <w:sz w:val="26"/>
              </w:rPr>
              <w:t xml:space="preserve">- </w:t>
            </w:r>
            <w:r>
              <w:rPr>
                <w:rFonts w:eastAsia="굴림;Gulim" w:cs="Arial" w:ascii="Arial" w:hAnsi="Arial"/>
                <w:sz w:val="24"/>
              </w:rPr>
              <w:t>Not to pay lease fee for 8 scrapped filling stations</w:t>
            </w:r>
          </w:p>
          <w:p>
            <w:pPr>
              <w:pStyle w:val="Normal"/>
              <w:spacing w:before="40" w:after="40"/>
              <w:ind w:hanging="241" w:start="241" w:end="0"/>
              <w:rPr/>
            </w:pPr>
            <w:r>
              <w:rPr>
                <w:rFonts w:eastAsia="굴림;Gulim" w:cs="Arial" w:ascii="Arial" w:hAnsi="Arial"/>
                <w:sz w:val="26"/>
              </w:rPr>
              <w:t>- There will be no loss in sales volume because the volume which used to belong to the disappearing F/S will be transferred to the remaining F/S(24) and SK Gas</w:t>
            </w:r>
            <w:r>
              <w:rPr>
                <w:rFonts w:eastAsia="굴림;Gulim" w:cs="Arial" w:ascii="Arial" w:hAnsi="Arial"/>
                <w:sz w:val="26"/>
              </w:rPr>
              <w:t>’</w:t>
            </w:r>
            <w:r>
              <w:rPr>
                <w:rFonts w:eastAsia="굴림;Gulim" w:cs="Arial" w:ascii="Arial" w:hAnsi="Arial"/>
                <w:sz w:val="26"/>
              </w:rPr>
              <w:t xml:space="preserve"> F/S nearby. It will serve as an opportunity to enhance our competitiveness and increase profitability.</w:t>
            </w:r>
          </w:p>
          <w:p>
            <w:pPr>
              <w:pStyle w:val="Normal"/>
              <w:spacing w:before="40" w:after="40"/>
              <w:ind w:hanging="221" w:start="221" w:end="0"/>
              <w:rPr>
                <w:rFonts w:ascii="Arial" w:hAnsi="Arial" w:eastAsia="굴림;Gulim" w:cs="Arial"/>
                <w:sz w:val="26"/>
              </w:rPr>
            </w:pPr>
            <w:r>
              <w:rPr>
                <w:rFonts w:eastAsia="굴림;Gulim" w:cs="Arial" w:ascii="Arial" w:hAnsi="Arial"/>
                <w:sz w:val="26"/>
              </w:rPr>
              <w:t>- Scrapping will be implemented by SK Global and it will be responsible for all the related costs including from laying off people.</w:t>
            </w:r>
          </w:p>
        </w:tc>
      </w:tr>
    </w:tbl>
    <w:p>
      <w:pPr>
        <w:pStyle w:val="Normal"/>
        <w:spacing w:before="40" w:after="40"/>
        <w:ind w:hanging="600" w:start="600" w:end="0"/>
        <w:rPr>
          <w:rFonts w:ascii="Arial" w:hAnsi="Arial" w:eastAsia="굴림;Gulim" w:cs="Arial"/>
          <w:sz w:val="24"/>
        </w:rPr>
      </w:pPr>
      <w:r>
        <w:rPr>
          <w:rFonts w:eastAsia="Arial" w:cs="Arial" w:ascii="Arial" w:hAnsi="Arial"/>
          <w:sz w:val="26"/>
        </w:rPr>
        <w:t xml:space="preserve"> </w:t>
      </w:r>
    </w:p>
    <w:p>
      <w:pPr>
        <w:pStyle w:val="Normal"/>
        <w:rPr>
          <w:rFonts w:ascii="Arial" w:hAnsi="Arial" w:eastAsia="굴림;Gulim" w:cs="Arial"/>
          <w:b/>
          <w:sz w:val="26"/>
        </w:rPr>
      </w:pPr>
      <w:r>
        <w:rPr>
          <w:rFonts w:eastAsia="굴림;Gulim" w:cs="Arial" w:ascii="Arial" w:hAnsi="Arial"/>
          <w:b/>
          <w:sz w:val="26"/>
        </w:rPr>
        <w:t>3. Management</w:t>
      </w:r>
    </w:p>
    <w:p>
      <w:pPr>
        <w:pStyle w:val="Normal"/>
        <w:rPr>
          <w:rFonts w:ascii="Arial" w:hAnsi="Arial" w:eastAsia="굴림;Gulim" w:cs="Arial"/>
          <w:b/>
          <w:sz w:val="24"/>
        </w:rPr>
      </w:pPr>
      <w:r>
        <w:rPr>
          <w:rFonts w:eastAsia="굴림;Gulim" w:cs="Arial" w:ascii="Arial" w:hAnsi="Arial"/>
          <w:b/>
          <w:sz w:val="24"/>
        </w:rPr>
      </w:r>
    </w:p>
    <w:p>
      <w:pPr>
        <w:pStyle w:val="Normal"/>
        <w:ind w:firstLine="240" w:end="0"/>
        <w:rPr>
          <w:sz w:val="24"/>
        </w:rPr>
      </w:pPr>
      <w:r>
        <w:rPr>
          <w:rFonts w:eastAsia="굴림;Gulim" w:cs="굴림;Gulim" w:ascii="굴림;Gulim" w:hAnsi="굴림;Gulim"/>
          <w:sz w:val="24"/>
        </w:rPr>
        <w:t>▷</w:t>
      </w:r>
      <w:r>
        <w:rPr>
          <w:rFonts w:eastAsia="Arial" w:cs="Arial" w:ascii="Arial" w:hAnsi="Arial"/>
          <w:sz w:val="24"/>
        </w:rPr>
        <w:t xml:space="preserve"> </w:t>
      </w:r>
      <w:r>
        <w:rPr>
          <w:rFonts w:eastAsia="굴림;Gulim" w:cs="Arial" w:ascii="Arial" w:hAnsi="Arial"/>
          <w:sz w:val="24"/>
        </w:rPr>
        <w:t xml:space="preserve">Sublease  </w:t>
      </w:r>
    </w:p>
    <w:p>
      <w:pPr>
        <w:pStyle w:val="Normal"/>
        <w:autoSpaceDE w:val="false"/>
        <w:ind w:hanging="600" w:start="600" w:end="0"/>
        <w:rPr/>
      </w:pPr>
      <w:r>
        <w:rPr>
          <w:rFonts w:eastAsia="Arial" w:cs="Arial" w:ascii="Arial" w:hAnsi="Arial"/>
          <w:sz w:val="24"/>
        </w:rPr>
        <w:t xml:space="preserve">  </w:t>
      </w:r>
      <w:r>
        <w:rPr>
          <w:rFonts w:eastAsia="굴림;Gulim" w:cs="굴림;Gulim" w:ascii="굴림;Gulim" w:hAnsi="굴림;Gulim"/>
          <w:sz w:val="24"/>
        </w:rPr>
        <w:t>▷</w:t>
      </w:r>
      <w:r>
        <w:rPr>
          <w:rFonts w:eastAsia="Arial" w:cs="Arial" w:ascii="Arial" w:hAnsi="Arial"/>
          <w:sz w:val="24"/>
        </w:rPr>
        <w:t xml:space="preserve"> </w:t>
      </w:r>
      <w:r>
        <w:rPr>
          <w:rFonts w:eastAsia="굴림;Gulim" w:cs="Arial" w:ascii="Arial" w:hAnsi="Arial"/>
          <w:color w:val="000000"/>
          <w:sz w:val="24"/>
        </w:rPr>
        <w:t>If SK Gas directly runs the F/S, it might have to raise the pay level for those who work at F/S since they have become the staff of SK Gas</w:t>
      </w:r>
      <w:r>
        <w:rPr>
          <w:rFonts w:eastAsia="굴림;Gulim" w:cs="Arial" w:ascii="Arial" w:hAnsi="Arial"/>
          <w:color w:val="000000"/>
          <w:sz w:val="24"/>
        </w:rPr>
        <w:t xml:space="preserve">. </w:t>
      </w:r>
      <w:r>
        <w:rPr>
          <w:rFonts w:eastAsia="굴림;Gulim" w:cs="Arial" w:ascii="Arial" w:hAnsi="Arial"/>
          <w:color w:val="000000"/>
          <w:sz w:val="24"/>
        </w:rPr>
        <w:t xml:space="preserve">However, if SK Gas subleases to </w:t>
      </w:r>
      <w:r>
        <w:rPr>
          <w:rFonts w:eastAsia="굴림;Gulim" w:cs="Arial" w:ascii="Arial" w:hAnsi="Arial"/>
          <w:color w:val="000000"/>
          <w:sz w:val="24"/>
        </w:rPr>
        <w:t xml:space="preserve">Mirae Energy and the </w:t>
      </w:r>
      <w:r>
        <w:rPr>
          <w:rFonts w:eastAsia="굴림;Gulim" w:cs="Arial" w:ascii="Arial" w:hAnsi="Arial"/>
          <w:color w:val="000000"/>
          <w:sz w:val="24"/>
        </w:rPr>
        <w:t>3rd Part</w:t>
      </w:r>
      <w:r>
        <w:rPr>
          <w:rFonts w:eastAsia="굴림;Gulim" w:cs="Arial" w:ascii="Arial" w:hAnsi="Arial"/>
          <w:color w:val="000000"/>
          <w:sz w:val="24"/>
        </w:rPr>
        <w:t>ies</w:t>
      </w:r>
      <w:r>
        <w:rPr>
          <w:rFonts w:eastAsia="굴림;Gulim" w:cs="Arial" w:ascii="Arial" w:hAnsi="Arial"/>
          <w:color w:val="000000"/>
          <w:sz w:val="24"/>
        </w:rPr>
        <w:t>, SK</w:t>
      </w:r>
      <w:r>
        <w:rPr>
          <w:rFonts w:eastAsia="굴림;Gulim" w:cs="Arial" w:ascii="Arial" w:hAnsi="Arial"/>
          <w:color w:val="000000"/>
          <w:sz w:val="24"/>
        </w:rPr>
        <w:t xml:space="preserve"> </w:t>
      </w:r>
      <w:r>
        <w:rPr>
          <w:rFonts w:eastAsia="굴림;Gulim" w:cs="Arial" w:ascii="Arial" w:hAnsi="Arial"/>
          <w:color w:val="000000"/>
          <w:sz w:val="24"/>
        </w:rPr>
        <w:t>G</w:t>
      </w:r>
      <w:r>
        <w:rPr>
          <w:rFonts w:eastAsia="굴림;Gulim" w:cs="Arial" w:ascii="Arial" w:hAnsi="Arial"/>
          <w:color w:val="000000"/>
          <w:sz w:val="24"/>
        </w:rPr>
        <w:t>as</w:t>
      </w:r>
      <w:r>
        <w:rPr>
          <w:rFonts w:eastAsia="굴림;Gulim" w:cs="Arial" w:ascii="Arial" w:hAnsi="Arial"/>
          <w:color w:val="000000"/>
          <w:sz w:val="24"/>
        </w:rPr>
        <w:t xml:space="preserve"> will not have to worry about this.</w:t>
      </w:r>
      <w:r>
        <w:rPr>
          <w:rFonts w:eastAsia="굴림;Gulim" w:cs="Arial" w:ascii="Arial" w:hAnsi="Arial"/>
          <w:color w:val="000000"/>
          <w:sz w:val="24"/>
        </w:rPr>
        <w:t xml:space="preserve"> (Supply volume to Mirae Energy would be maximized as long as FTC </w:t>
      </w:r>
      <w:r>
        <w:rPr>
          <w:rFonts w:eastAsia="굴림;Gulim" w:cs="Arial" w:ascii="Arial" w:hAnsi="Arial"/>
          <w:color w:val="000000"/>
          <w:sz w:val="24"/>
        </w:rPr>
        <w:t>does</w:t>
      </w:r>
      <w:r>
        <w:rPr>
          <w:rFonts w:eastAsia="굴림;Gulim" w:cs="Arial" w:ascii="Arial" w:hAnsi="Arial"/>
          <w:color w:val="000000"/>
          <w:sz w:val="24"/>
        </w:rPr>
        <w:t xml:space="preserve"> not consider the trade as affiliates</w:t>
      </w:r>
      <w:r>
        <w:rPr>
          <w:rFonts w:eastAsia="굴림;Gulim" w:cs="Arial" w:ascii="Arial" w:hAnsi="Arial"/>
          <w:color w:val="000000"/>
          <w:sz w:val="24"/>
        </w:rPr>
        <w:t>’</w:t>
      </w:r>
      <w:r>
        <w:rPr>
          <w:rFonts w:eastAsia="굴림;Gulim" w:cs="Arial" w:ascii="Arial" w:hAnsi="Arial"/>
          <w:color w:val="000000"/>
          <w:sz w:val="24"/>
        </w:rPr>
        <w:t xml:space="preserve"> transaction.)</w:t>
      </w:r>
    </w:p>
    <w:p>
      <w:pPr>
        <w:pStyle w:val="Normal"/>
        <w:autoSpaceDE w:val="false"/>
        <w:rPr>
          <w:rFonts w:ascii="Arial" w:hAnsi="Arial" w:eastAsia="굴림;Gulim" w:cs="Arial"/>
          <w:color w:val="000000"/>
          <w:sz w:val="24"/>
        </w:rPr>
      </w:pPr>
      <w:r>
        <w:rPr>
          <w:rFonts w:eastAsia="굴림;Gulim" w:cs="Arial" w:ascii="Arial" w:hAnsi="Arial"/>
          <w:color w:val="000000"/>
          <w:sz w:val="24"/>
        </w:rPr>
      </w:r>
    </w:p>
    <w:p>
      <w:pPr>
        <w:pStyle w:val="Normal"/>
        <w:ind w:firstLine="240" w:end="0"/>
        <w:rPr>
          <w:rFonts w:ascii="Arial" w:hAnsi="Arial" w:eastAsia="굴림;Gulim" w:cs="Arial"/>
          <w:color w:val="000000"/>
          <w:sz w:val="24"/>
        </w:rPr>
      </w:pPr>
      <w:r>
        <w:rPr>
          <w:rFonts w:eastAsia="굴림;Gulim" w:cs="굴림;Gulim" w:ascii="굴림;Gulim" w:hAnsi="굴림;Gulim"/>
          <w:color w:val="000000"/>
          <w:sz w:val="24"/>
        </w:rPr>
        <w:t>▷</w:t>
      </w:r>
      <w:r>
        <w:rPr>
          <w:rFonts w:eastAsia="Arial" w:cs="Arial" w:ascii="Arial" w:hAnsi="Arial"/>
          <w:color w:val="000000"/>
          <w:sz w:val="24"/>
        </w:rPr>
        <w:t xml:space="preserve"> </w:t>
      </w:r>
      <w:r>
        <w:rPr>
          <w:rFonts w:eastAsia="굴림;Gulim" w:cs="Arial" w:ascii="Arial" w:hAnsi="Arial"/>
          <w:color w:val="000000"/>
          <w:sz w:val="24"/>
        </w:rPr>
        <w:t>Other side effects</w:t>
      </w:r>
      <w:r>
        <w:rPr>
          <w:rFonts w:eastAsia="굴림;Gulim" w:cs="Arial" w:ascii="Arial" w:hAnsi="Arial"/>
          <w:color w:val="000000"/>
          <w:sz w:val="30"/>
        </w:rPr>
        <w:t xml:space="preserve"> </w:t>
      </w:r>
      <w:r>
        <w:rPr>
          <w:rFonts w:eastAsia="굴림;Gulim" w:cs="굴림;Gulim" w:ascii="굴림;Gulim" w:hAnsi="굴림;Gulim"/>
          <w:color w:val="000000"/>
          <w:sz w:val="24"/>
        </w:rPr>
        <w:t>→</w:t>
      </w:r>
      <w:r>
        <w:rPr>
          <w:rFonts w:eastAsia="굴림;Gulim" w:cs="Arial" w:ascii="Arial" w:hAnsi="Arial"/>
          <w:color w:val="000000"/>
          <w:sz w:val="24"/>
        </w:rPr>
        <w:t xml:space="preserve"> Probability of labor disputes </w:t>
        <w:br/>
        <w:t xml:space="preserve">                     </w:t>
      </w:r>
      <w:r>
        <w:rPr>
          <w:rFonts w:eastAsia="굴림;Gulim" w:cs="Arial" w:ascii="Arial" w:hAnsi="Arial"/>
          <w:color w:val="000000"/>
          <w:sz w:val="24"/>
        </w:rPr>
        <w:t xml:space="preserve"> </w:t>
      </w:r>
      <w:r>
        <w:rPr>
          <w:rFonts w:eastAsia="굴림;Gulim" w:cs="굴림;Gulim" w:ascii="굴림;Gulim" w:hAnsi="굴림;Gulim"/>
          <w:color w:val="000000"/>
          <w:sz w:val="24"/>
        </w:rPr>
        <w:t>→</w:t>
      </w:r>
      <w:r>
        <w:rPr>
          <w:rFonts w:eastAsia="굴림;Gulim" w:cs="Arial" w:ascii="Arial" w:hAnsi="Arial"/>
          <w:color w:val="000000"/>
          <w:sz w:val="24"/>
        </w:rPr>
        <w:t xml:space="preserve"> Possible conflicts with independent F/S  </w:t>
        <w:br/>
        <w:t xml:space="preserve">                      </w:t>
      </w:r>
      <w:r>
        <w:rPr>
          <w:rFonts w:eastAsia="굴림;Gulim" w:cs="굴림;Gulim" w:ascii="굴림;Gulim" w:hAnsi="굴림;Gulim"/>
          <w:color w:val="000000"/>
          <w:sz w:val="24"/>
        </w:rPr>
        <w:t>→</w:t>
      </w:r>
      <w:r>
        <w:rPr>
          <w:rFonts w:eastAsia="굴림;Gulim" w:cs="Arial" w:ascii="Arial" w:hAnsi="Arial"/>
          <w:color w:val="000000"/>
          <w:sz w:val="24"/>
        </w:rPr>
        <w:t xml:space="preserve"> Risk of liability in case of accidents</w:t>
      </w:r>
    </w:p>
    <w:p>
      <w:pPr>
        <w:pStyle w:val="Normal"/>
        <w:ind w:firstLine="240" w:end="0"/>
        <w:rPr>
          <w:rFonts w:ascii="Arial" w:hAnsi="Arial" w:eastAsia="굴림;Gulim" w:cs="Arial"/>
          <w:color w:val="000000"/>
          <w:sz w:val="24"/>
        </w:rPr>
      </w:pPr>
      <w:r>
        <w:rPr>
          <w:rFonts w:eastAsia="굴림;Gulim" w:cs="Arial" w:ascii="Arial" w:hAnsi="Arial"/>
          <w:color w:val="000000"/>
          <w:sz w:val="24"/>
        </w:rPr>
      </w:r>
    </w:p>
    <w:p>
      <w:pPr>
        <w:pStyle w:val="Normal"/>
        <w:spacing w:before="40" w:after="40"/>
        <w:rPr/>
      </w:pPr>
      <w:r>
        <w:rPr>
          <w:rFonts w:eastAsia="굴림;Gulim" w:cs="Arial" w:ascii="Arial" w:hAnsi="Arial"/>
          <w:b/>
          <w:color w:val="000000"/>
          <w:sz w:val="26"/>
        </w:rPr>
        <w:t>4. Economic Analysis</w:t>
      </w:r>
      <w:r>
        <w:rPr>
          <w:rFonts w:eastAsia="굴림;Gulim" w:cs="Arial" w:ascii="Arial" w:hAnsi="Arial"/>
          <w:color w:val="000000"/>
          <w:sz w:val="24"/>
        </w:rPr>
        <w:t xml:space="preserve">                                 </w:t>
      </w:r>
      <w:r>
        <w:rPr>
          <w:rFonts w:eastAsia="굴림;Gulim" w:cs="Arial" w:ascii="Arial" w:hAnsi="Arial"/>
          <w:sz w:val="26"/>
        </w:rPr>
        <w:t xml:space="preserve">(Unit : million won/year) </w:t>
      </w:r>
    </w:p>
    <w:tbl>
      <w:tblPr>
        <w:tblW w:w="9260" w:type="dxa"/>
        <w:jc w:val="start"/>
        <w:tblInd w:w="199" w:type="dxa"/>
        <w:tblLayout w:type="fixed"/>
        <w:tblCellMar>
          <w:top w:w="0" w:type="dxa"/>
          <w:start w:w="99" w:type="dxa"/>
          <w:bottom w:w="0" w:type="dxa"/>
          <w:end w:w="99" w:type="dxa"/>
        </w:tblCellMar>
      </w:tblPr>
      <w:tblGrid>
        <w:gridCol w:w="2315"/>
        <w:gridCol w:w="2315"/>
        <w:gridCol w:w="2315"/>
        <w:gridCol w:w="2315"/>
      </w:tblGrid>
      <w:tr>
        <w:trPr/>
        <w:tc>
          <w:tcPr>
            <w:tcW w:w="23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Arial" w:hAnsi="Arial" w:eastAsia="굴림;Gulim" w:cs="Arial"/>
                <w:sz w:val="26"/>
              </w:rPr>
            </w:pPr>
            <w:r>
              <w:rPr>
                <w:rFonts w:eastAsia="굴림;Gulim" w:cs="Arial" w:ascii="Arial" w:hAnsi="Arial"/>
                <w:sz w:val="26"/>
              </w:rPr>
            </w:r>
          </w:p>
        </w:tc>
        <w:tc>
          <w:tcPr>
            <w:tcW w:w="23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Arial" w:hAnsi="Arial" w:eastAsia="굴림;Gulim" w:cs="Arial"/>
                <w:sz w:val="26"/>
              </w:rPr>
            </w:pPr>
            <w:r>
              <w:rPr>
                <w:rFonts w:eastAsia="굴림;Gulim" w:cs="Arial" w:ascii="Arial" w:hAnsi="Arial"/>
                <w:sz w:val="26"/>
              </w:rPr>
              <w:t>Current</w:t>
            </w:r>
          </w:p>
        </w:tc>
        <w:tc>
          <w:tcPr>
            <w:tcW w:w="23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Arial" w:hAnsi="Arial" w:eastAsia="굴림;Gulim" w:cs="Arial"/>
                <w:sz w:val="26"/>
              </w:rPr>
            </w:pPr>
            <w:r>
              <w:rPr>
                <w:rFonts w:eastAsia="굴림;Gulim" w:cs="Arial" w:ascii="Arial" w:hAnsi="Arial"/>
                <w:sz w:val="26"/>
              </w:rPr>
              <w:t>After</w:t>
            </w:r>
          </w:p>
        </w:tc>
        <w:tc>
          <w:tcPr>
            <w:tcW w:w="23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Arial" w:hAnsi="Arial" w:eastAsia="굴림;Gulim" w:cs="Arial"/>
                <w:sz w:val="26"/>
              </w:rPr>
            </w:pPr>
            <w:r>
              <w:rPr>
                <w:rFonts w:eastAsia="굴림;Gulim" w:cs="Arial" w:ascii="Arial" w:hAnsi="Arial"/>
                <w:sz w:val="26"/>
              </w:rPr>
              <w:t>Variance</w:t>
            </w:r>
          </w:p>
        </w:tc>
      </w:tr>
      <w:tr>
        <w:trPr/>
        <w:tc>
          <w:tcPr>
            <w:tcW w:w="23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spacing w:before="40" w:after="40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SK Gas</w:t>
            </w:r>
          </w:p>
        </w:tc>
        <w:tc>
          <w:tcPr>
            <w:tcW w:w="23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Arial" w:hAnsi="Arial" w:eastAsia="굴림;Gulim" w:cs="Arial"/>
                <w:sz w:val="26"/>
              </w:rPr>
            </w:pPr>
            <w:r>
              <w:rPr>
                <w:rFonts w:eastAsia="굴림;Gulim" w:cs="Arial" w:ascii="Arial" w:hAnsi="Arial"/>
                <w:sz w:val="26"/>
              </w:rPr>
              <w:t>15,764</w:t>
            </w:r>
          </w:p>
        </w:tc>
        <w:tc>
          <w:tcPr>
            <w:tcW w:w="23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Arial" w:hAnsi="Arial" w:eastAsia="굴림;Gulim" w:cs="Arial"/>
                <w:sz w:val="26"/>
              </w:rPr>
            </w:pPr>
            <w:r>
              <w:rPr>
                <w:rFonts w:eastAsia="굴림;Gulim" w:cs="Arial" w:ascii="Arial" w:hAnsi="Arial"/>
                <w:sz w:val="26"/>
              </w:rPr>
              <w:t>16,771</w:t>
            </w:r>
          </w:p>
        </w:tc>
        <w:tc>
          <w:tcPr>
            <w:tcW w:w="23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Arial" w:hAnsi="Arial" w:eastAsia="굴림;Gulim" w:cs="Arial"/>
                <w:sz w:val="26"/>
              </w:rPr>
            </w:pPr>
            <w:r>
              <w:rPr>
                <w:rFonts w:eastAsia="굴림;Gulim" w:cs="Arial" w:ascii="Arial" w:hAnsi="Arial"/>
                <w:sz w:val="26"/>
              </w:rPr>
              <w:t>1,007</w:t>
            </w:r>
          </w:p>
        </w:tc>
      </w:tr>
      <w:tr>
        <w:trPr/>
        <w:tc>
          <w:tcPr>
            <w:tcW w:w="23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Arial" w:hAnsi="Arial" w:eastAsia="굴림;Gulim" w:cs="Arial"/>
                <w:sz w:val="26"/>
              </w:rPr>
            </w:pPr>
            <w:r>
              <w:rPr>
                <w:rFonts w:eastAsia="굴림;Gulim" w:cs="Arial" w:ascii="Arial" w:hAnsi="Arial"/>
                <w:color w:val="000000"/>
                <w:sz w:val="24"/>
              </w:rPr>
              <w:t>Suble</w:t>
            </w:r>
            <w:r>
              <w:rPr>
                <w:rFonts w:eastAsia="굴림;Gulim" w:cs="Arial" w:ascii="Arial" w:hAnsi="Arial"/>
                <w:color w:val="000000"/>
                <w:sz w:val="24"/>
              </w:rPr>
              <w:t>s</w:t>
            </w:r>
            <w:r>
              <w:rPr>
                <w:rFonts w:eastAsia="굴림;Gulim" w:cs="Arial" w:ascii="Arial" w:hAnsi="Arial"/>
                <w:color w:val="000000"/>
                <w:sz w:val="24"/>
              </w:rPr>
              <w:t>se</w:t>
            </w:r>
            <w:r>
              <w:rPr>
                <w:rFonts w:eastAsia="굴림;Gulim" w:cs="Arial" w:ascii="Arial" w:hAnsi="Arial"/>
                <w:color w:val="000000"/>
                <w:sz w:val="24"/>
              </w:rPr>
              <w:t>e</w:t>
            </w:r>
          </w:p>
        </w:tc>
        <w:tc>
          <w:tcPr>
            <w:tcW w:w="23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Arial" w:hAnsi="Arial" w:eastAsia="굴림;Gulim" w:cs="Arial"/>
                <w:sz w:val="26"/>
              </w:rPr>
            </w:pPr>
            <w:r>
              <w:rPr>
                <w:rFonts w:eastAsia="굴림;Gulim" w:cs="Arial" w:ascii="Arial" w:hAnsi="Arial"/>
                <w:sz w:val="26"/>
              </w:rPr>
              <w:t>0</w:t>
            </w:r>
          </w:p>
        </w:tc>
        <w:tc>
          <w:tcPr>
            <w:tcW w:w="23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Arial" w:hAnsi="Arial" w:eastAsia="굴림;Gulim" w:cs="Arial"/>
                <w:sz w:val="26"/>
              </w:rPr>
            </w:pPr>
            <w:r>
              <w:rPr>
                <w:rFonts w:eastAsia="굴림;Gulim" w:cs="Arial" w:ascii="Arial" w:hAnsi="Arial"/>
                <w:sz w:val="26"/>
              </w:rPr>
              <w:t>67</w:t>
            </w:r>
          </w:p>
        </w:tc>
        <w:tc>
          <w:tcPr>
            <w:tcW w:w="23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Arial" w:hAnsi="Arial" w:eastAsia="굴림;Gulim" w:cs="Arial"/>
                <w:sz w:val="26"/>
              </w:rPr>
            </w:pPr>
            <w:r>
              <w:rPr>
                <w:rFonts w:eastAsia="굴림;Gulim" w:cs="Arial" w:ascii="Arial" w:hAnsi="Arial"/>
                <w:sz w:val="26"/>
              </w:rPr>
              <w:t>67</w:t>
            </w:r>
          </w:p>
        </w:tc>
      </w:tr>
      <w:tr>
        <w:trPr/>
        <w:tc>
          <w:tcPr>
            <w:tcW w:w="23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Arial" w:hAnsi="Arial" w:eastAsia="굴림;Gulim" w:cs="Arial"/>
                <w:sz w:val="26"/>
              </w:rPr>
            </w:pPr>
            <w:r>
              <w:rPr>
                <w:rFonts w:eastAsia="굴림;Gulim" w:cs="Arial" w:ascii="Arial" w:hAnsi="Arial"/>
                <w:sz w:val="26"/>
              </w:rPr>
              <w:t>Sum</w:t>
            </w:r>
          </w:p>
        </w:tc>
        <w:tc>
          <w:tcPr>
            <w:tcW w:w="23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Arial" w:hAnsi="Arial" w:eastAsia="굴림;Gulim" w:cs="Arial"/>
                <w:sz w:val="26"/>
              </w:rPr>
            </w:pPr>
            <w:r>
              <w:rPr>
                <w:rFonts w:eastAsia="굴림;Gulim" w:cs="Arial" w:ascii="Arial" w:hAnsi="Arial"/>
                <w:sz w:val="26"/>
              </w:rPr>
              <w:t>15,764</w:t>
            </w:r>
          </w:p>
        </w:tc>
        <w:tc>
          <w:tcPr>
            <w:tcW w:w="23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Arial" w:hAnsi="Arial" w:eastAsia="굴림;Gulim" w:cs="Arial"/>
                <w:sz w:val="26"/>
              </w:rPr>
            </w:pPr>
            <w:r>
              <w:rPr>
                <w:rFonts w:eastAsia="굴림;Gulim" w:cs="Arial" w:ascii="Arial" w:hAnsi="Arial"/>
                <w:sz w:val="26"/>
              </w:rPr>
              <w:t>16,838</w:t>
            </w:r>
          </w:p>
        </w:tc>
        <w:tc>
          <w:tcPr>
            <w:tcW w:w="23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Arial" w:hAnsi="Arial" w:eastAsia="굴림;Gulim" w:cs="Arial"/>
                <w:sz w:val="26"/>
              </w:rPr>
            </w:pPr>
            <w:r>
              <w:rPr>
                <w:rFonts w:eastAsia="굴림;Gulim" w:cs="Arial" w:ascii="Arial" w:hAnsi="Arial"/>
                <w:sz w:val="26"/>
              </w:rPr>
              <w:t>1,074</w:t>
            </w:r>
          </w:p>
        </w:tc>
      </w:tr>
    </w:tbl>
    <w:p>
      <w:pPr>
        <w:pStyle w:val="Normal"/>
        <w:rPr>
          <w:rFonts w:ascii="Arial" w:hAnsi="Arial" w:eastAsia="굴림;Gulim" w:cs="Arial"/>
        </w:rPr>
      </w:pPr>
      <w:r>
        <w:rPr>
          <w:rFonts w:eastAsia="굴림;Gulim" w:cs="Arial" w:ascii="Arial" w:hAnsi="Arial"/>
        </w:rPr>
      </w:r>
    </w:p>
    <w:sectPr>
      <w:type w:val="nextPage"/>
      <w:pgSz w:w="11906" w:h="16838"/>
      <w:pgMar w:left="1320" w:right="1186" w:gutter="0" w:header="0" w:top="999" w:footer="0" w:bottom="999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굴림">
    <w:altName w:val="Gulim"/>
    <w:charset w:val="81"/>
    <w:family w:val="moder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rFonts w:ascii="굴림;Gulim" w:hAnsi="굴림;Gulim"/>
        <w:color w:val="000000"/>
      </w:r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851"/>
        </w:tabs>
        <w:ind w:start="255" w:hanging="255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851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바탕체" w:cs="Times New Roman"/>
      <w:color w:val="auto"/>
      <w:kern w:val="2"/>
      <w:sz w:val="20"/>
      <w:szCs w:val="20"/>
      <w:lang w:val="en-US" w:eastAsia="ko-K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eastAsia="굴림;Gulim"/>
      <w:sz w:val="26"/>
    </w:rPr>
  </w:style>
  <w:style w:type="paragraph" w:styleId="Heading2">
    <w:name w:val="heading 2"/>
    <w:basedOn w:val="Normal"/>
    <w:next w:val="Style11"/>
    <w:qFormat/>
    <w:pPr>
      <w:keepNext w:val="true"/>
      <w:numPr>
        <w:ilvl w:val="1"/>
        <w:numId w:val="1"/>
      </w:numPr>
      <w:ind w:firstLine="20" w:start="580" w:end="0"/>
      <w:outlineLvl w:val="1"/>
    </w:pPr>
    <w:rPr>
      <w:sz w:val="24"/>
    </w:rPr>
  </w:style>
  <w:style w:type="paragraph" w:styleId="Heading3">
    <w:name w:val="heading 3"/>
    <w:basedOn w:val="Normal"/>
    <w:next w:val="Style11"/>
    <w:qFormat/>
    <w:pPr>
      <w:keepNext w:val="true"/>
      <w:numPr>
        <w:ilvl w:val="2"/>
        <w:numId w:val="1"/>
      </w:numPr>
      <w:jc w:val="center"/>
      <w:outlineLvl w:val="2"/>
    </w:pPr>
    <w:rPr>
      <w:rFonts w:eastAsia="굴림;Gulim"/>
      <w:b/>
      <w:sz w:val="36"/>
      <w:u w:val="single"/>
    </w:rPr>
  </w:style>
  <w:style w:type="paragraph" w:styleId="Heading4">
    <w:name w:val="heading 4"/>
    <w:basedOn w:val="Normal"/>
    <w:next w:val="Style11"/>
    <w:qFormat/>
    <w:pPr>
      <w:keepNext w:val="true"/>
      <w:numPr>
        <w:ilvl w:val="3"/>
        <w:numId w:val="1"/>
      </w:numPr>
      <w:jc w:val="center"/>
      <w:outlineLvl w:val="3"/>
    </w:pPr>
    <w:rPr>
      <w:sz w:val="36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굴림;Gulim" w:hAnsi="굴림;Gulim"/>
      <w:color w:val="000000"/>
    </w:rPr>
  </w:style>
  <w:style w:type="character" w:styleId="WW8Num4z0">
    <w:name w:val="WW8Num4z0"/>
    <w:qFormat/>
    <w:rPr/>
  </w:style>
  <w:style w:type="character" w:styleId="Style10">
    <w:name w:val="기본 단락 글꼴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11">
    <w:name w:val="표준 들여쓰기"/>
    <w:basedOn w:val="Normal"/>
    <w:qFormat/>
    <w:pPr>
      <w:ind w:hanging="0" w:start="851" w:end="0"/>
    </w:pPr>
    <w:rPr/>
  </w:style>
  <w:style w:type="paragraph" w:styleId="BodyTextIndent">
    <w:name w:val="Body Text Indent"/>
    <w:basedOn w:val="Normal"/>
    <w:pPr>
      <w:ind w:hanging="580" w:start="820" w:end="0"/>
    </w:pPr>
    <w:rPr>
      <w:sz w:val="24"/>
    </w:rPr>
  </w:style>
  <w:style w:type="paragraph" w:styleId="2">
    <w:name w:val="본문 들여쓰기 2"/>
    <w:basedOn w:val="Normal"/>
    <w:qFormat/>
    <w:pPr>
      <w:ind w:hanging="780" w:start="780" w:end="0"/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2001-05-16T23:46:00Z</dcterms:created>
  <dc:creator>skgas</dc:creator>
  <dc:description/>
  <dc:language>en-CA</dc:language>
  <cp:lastModifiedBy>yhmoon</cp:lastModifiedBy>
  <cp:lastPrinted>2001-05-17T10:32:00Z</cp:lastPrinted>
  <dcterms:modified xsi:type="dcterms:W3CDTF">2001-05-16T23:46:00Z</dcterms:modified>
  <cp:revision>2</cp:revision>
  <dc:subject/>
  <dc:title>SK Global 프로판 충전소 임대</dc:title>
</cp:coreProperties>
</file>