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0"/>
        </w:rPr>
      </w:pPr>
      <w:r>
        <w:rPr>
          <w:sz w:val="30"/>
        </w:rPr>
        <w:t>Disposition of Ildong CC Membership</w:t>
      </w:r>
    </w:p>
    <w:p>
      <w:pPr>
        <w:pStyle w:val="Normal"/>
        <w:jc w:val="center"/>
        <w:rPr>
          <w:b/>
          <w:sz w:val="24"/>
          <w:u w:val="single"/>
        </w:rPr>
      </w:pPr>
      <w:r>
        <w:rPr>
          <w:b/>
          <w:sz w:val="24"/>
          <w:u w:val="single"/>
        </w:rPr>
      </w:r>
    </w:p>
    <w:p>
      <w:pPr>
        <w:pStyle w:val="Normal"/>
        <w:jc w:val="end"/>
        <w:rPr>
          <w:sz w:val="22"/>
        </w:rPr>
      </w:pPr>
      <w:r>
        <w:rPr>
          <w:sz w:val="22"/>
        </w:rPr>
        <w:t>5/11/2001</w:t>
      </w:r>
    </w:p>
    <w:p>
      <w:pPr>
        <w:pStyle w:val="Normal"/>
        <w:rPr>
          <w:b/>
          <w:sz w:val="26"/>
        </w:rPr>
      </w:pPr>
      <w:r>
        <w:rPr>
          <w:b/>
          <w:sz w:val="26"/>
        </w:rPr>
      </w:r>
    </w:p>
    <w:p>
      <w:pPr>
        <w:pStyle w:val="Normal"/>
        <w:numPr>
          <w:ilvl w:val="0"/>
          <w:numId w:val="3"/>
        </w:numPr>
        <w:rPr>
          <w:b/>
          <w:sz w:val="26"/>
          <w:u w:val="single"/>
        </w:rPr>
      </w:pPr>
      <w:r>
        <w:rPr>
          <w:b/>
          <w:sz w:val="26"/>
          <w:u w:val="single"/>
        </w:rPr>
        <w:t>Status &amp; Progress</w:t>
      </w:r>
    </w:p>
    <w:p>
      <w:pPr>
        <w:pStyle w:val="Normal"/>
        <w:rPr>
          <w:rFonts w:eastAsia="Times New Roman"/>
          <w:sz w:val="24"/>
        </w:rPr>
      </w:pPr>
      <w:r>
        <w:rPr>
          <w:rFonts w:eastAsia="Times New Roman"/>
          <w:sz w:val="24"/>
        </w:rPr>
        <w:t xml:space="preserve"> </w:t>
      </w:r>
    </w:p>
    <w:p>
      <w:pPr>
        <w:pStyle w:val="Normal"/>
        <w:ind w:hanging="182" w:start="294" w:end="0"/>
        <w:rPr>
          <w:sz w:val="24"/>
        </w:rPr>
      </w:pPr>
      <w:r>
        <w:rPr>
          <w:sz w:val="24"/>
        </w:rPr>
        <w:t>o</w:t>
        <w:tab/>
        <w:t xml:space="preserve"> SK Group 11companies owns 468 membership(100%)</w:t>
      </w:r>
    </w:p>
    <w:p>
      <w:pPr>
        <w:pStyle w:val="Normal"/>
        <w:ind w:hanging="182" w:start="294" w:end="0"/>
        <w:jc w:val="start"/>
        <w:rPr>
          <w:sz w:val="24"/>
        </w:rPr>
      </w:pPr>
      <w:r>
        <w:rPr>
          <w:sz w:val="24"/>
        </w:rPr>
        <w:t>o SK Group decided to dispose all membership to Nongsim by negotiation</w:t>
      </w:r>
    </w:p>
    <w:p>
      <w:pPr>
        <w:pStyle w:val="Normal"/>
        <w:ind w:hanging="182" w:start="294" w:end="0"/>
        <w:rPr/>
      </w:pPr>
      <w:r>
        <w:rPr>
          <w:sz w:val="24"/>
        </w:rPr>
        <w:t>o MOU exchanged on March 9</w:t>
      </w:r>
      <w:r>
        <w:rPr>
          <w:sz w:val="24"/>
          <w:vertAlign w:val="superscript"/>
        </w:rPr>
        <w:t>th</w:t>
      </w:r>
      <w:r>
        <w:rPr>
          <w:sz w:val="24"/>
        </w:rPr>
        <w:t xml:space="preserve"> w/Nongsim</w:t>
      </w:r>
    </w:p>
    <w:p>
      <w:pPr>
        <w:pStyle w:val="Normal"/>
        <w:ind w:hanging="182" w:start="294" w:end="0"/>
        <w:jc w:val="start"/>
        <w:rPr/>
      </w:pPr>
      <w:r>
        <w:rPr>
          <w:sz w:val="24"/>
        </w:rPr>
        <w:t>o Transaction was done 9Co</w:t>
      </w:r>
      <w:r>
        <w:rPr>
          <w:sz w:val="24"/>
        </w:rPr>
        <w:t>’</w:t>
      </w:r>
      <w:r>
        <w:rPr>
          <w:sz w:val="24"/>
        </w:rPr>
        <w:t>s except SK Gas(7membership) &amp;Telecom(84) on March 28</w:t>
      </w:r>
    </w:p>
    <w:p>
      <w:pPr>
        <w:pStyle w:val="Normal"/>
        <w:rPr>
          <w:sz w:val="24"/>
        </w:rPr>
      </w:pPr>
      <w:r>
        <w:rPr>
          <w:sz w:val="24"/>
        </w:rPr>
      </w:r>
    </w:p>
    <w:p>
      <w:pPr>
        <w:pStyle w:val="Normal"/>
        <w:numPr>
          <w:ilvl w:val="0"/>
          <w:numId w:val="3"/>
        </w:numPr>
        <w:rPr>
          <w:b/>
          <w:sz w:val="26"/>
          <w:u w:val="single"/>
        </w:rPr>
      </w:pPr>
      <w:r>
        <w:rPr>
          <w:b/>
          <w:sz w:val="26"/>
          <w:u w:val="single"/>
        </w:rPr>
        <w:t>Why sell down</w:t>
      </w:r>
    </w:p>
    <w:p>
      <w:pPr>
        <w:pStyle w:val="Normal"/>
        <w:rPr>
          <w:b/>
          <w:sz w:val="26"/>
          <w:u w:val="single"/>
        </w:rPr>
      </w:pPr>
      <w:r>
        <w:rPr>
          <w:b/>
          <w:sz w:val="26"/>
          <w:u w:val="single"/>
        </w:rPr>
      </w:r>
    </w:p>
    <w:p>
      <w:pPr>
        <w:pStyle w:val="BodyText"/>
        <w:rPr>
          <w:sz w:val="24"/>
        </w:rPr>
      </w:pPr>
      <w:r>
        <w:rPr>
          <w:rFonts w:eastAsia="Times New Roman"/>
          <w:sz w:val="24"/>
        </w:rPr>
        <w:t xml:space="preserve"> </w:t>
      </w:r>
      <w:r>
        <w:rPr>
          <w:sz w:val="24"/>
        </w:rPr>
        <w:t>o Financial difficulty in operation company : Sungsan Development Co.</w:t>
        <w:br/>
        <w:t xml:space="preserve">   experienced big loss in this business since `95</w:t>
      </w:r>
    </w:p>
    <w:p>
      <w:pPr>
        <w:pStyle w:val="Normal"/>
        <w:rPr>
          <w:sz w:val="24"/>
        </w:rPr>
      </w:pPr>
      <w:r>
        <w:rPr>
          <w:rFonts w:eastAsia="Times New Roman"/>
          <w:sz w:val="24"/>
        </w:rPr>
        <w:t xml:space="preserve"> </w:t>
      </w:r>
      <w:r>
        <w:rPr>
          <w:sz w:val="24"/>
        </w:rPr>
        <w:t>o To avoid to be regarded as SK affiliates by FTC</w:t>
      </w:r>
    </w:p>
    <w:p>
      <w:pPr>
        <w:pStyle w:val="Normal"/>
        <w:rPr>
          <w:sz w:val="24"/>
        </w:rPr>
      </w:pPr>
      <w:r>
        <w:rPr>
          <w:rFonts w:eastAsia="Times New Roman"/>
          <w:sz w:val="24"/>
        </w:rPr>
        <w:t xml:space="preserve"> </w:t>
      </w:r>
      <w:r>
        <w:rPr>
          <w:sz w:val="24"/>
        </w:rPr>
        <w:t xml:space="preserve">o Other tax risk in supporting this company to get out of financial difficulty </w:t>
      </w:r>
    </w:p>
    <w:p>
      <w:pPr>
        <w:pStyle w:val="Normal"/>
        <w:rPr>
          <w:sz w:val="24"/>
        </w:rPr>
      </w:pPr>
      <w:r>
        <w:rPr>
          <w:sz w:val="24"/>
        </w:rPr>
      </w:r>
    </w:p>
    <w:p>
      <w:pPr>
        <w:pStyle w:val="Normal"/>
        <w:numPr>
          <w:ilvl w:val="0"/>
          <w:numId w:val="3"/>
        </w:numPr>
        <w:rPr>
          <w:b/>
          <w:sz w:val="26"/>
          <w:u w:val="single"/>
        </w:rPr>
      </w:pPr>
      <w:r>
        <w:rPr>
          <w:b/>
          <w:sz w:val="26"/>
          <w:u w:val="single"/>
        </w:rPr>
        <w:t>What</w:t>
      </w:r>
      <w:r>
        <w:rPr>
          <w:b/>
          <w:sz w:val="26"/>
          <w:u w:val="single"/>
        </w:rPr>
        <w:t>’</w:t>
      </w:r>
      <w:r>
        <w:rPr>
          <w:b/>
          <w:sz w:val="26"/>
          <w:u w:val="single"/>
        </w:rPr>
        <w:t>s requested from SK Group</w:t>
      </w:r>
    </w:p>
    <w:p>
      <w:pPr>
        <w:pStyle w:val="Normal"/>
        <w:rPr>
          <w:b/>
          <w:sz w:val="26"/>
          <w:u w:val="single"/>
        </w:rPr>
      </w:pPr>
      <w:r>
        <w:rPr>
          <w:b/>
          <w:sz w:val="26"/>
          <w:u w:val="single"/>
        </w:rPr>
      </w:r>
    </w:p>
    <w:p>
      <w:pPr>
        <w:pStyle w:val="Normal"/>
        <w:rPr/>
      </w:pPr>
      <w:r>
        <w:rPr>
          <w:rFonts w:eastAsia="Times New Roman"/>
          <w:sz w:val="24"/>
        </w:rPr>
        <w:t xml:space="preserve"> </w:t>
      </w:r>
      <w:r>
        <w:rPr>
          <w:sz w:val="24"/>
        </w:rPr>
        <w:t>o To sell SK Gas</w:t>
      </w:r>
      <w:r>
        <w:rPr>
          <w:sz w:val="24"/>
        </w:rPr>
        <w:t>’</w:t>
      </w:r>
      <w:r>
        <w:rPr>
          <w:sz w:val="24"/>
        </w:rPr>
        <w:t xml:space="preserve"> membership to Nongsim w/ loss</w:t>
      </w:r>
    </w:p>
    <w:p>
      <w:pPr>
        <w:pStyle w:val="Normal"/>
        <w:rPr/>
      </w:pPr>
      <w:r>
        <w:rPr>
          <w:rFonts w:eastAsia="Times New Roman"/>
          <w:sz w:val="24"/>
        </w:rPr>
        <w:t xml:space="preserve">   </w:t>
      </w:r>
      <w:r>
        <w:rPr>
          <w:rFonts w:eastAsia="Wingdings" w:cs="Wingdings" w:ascii="Wingdings" w:hAnsi="Wingdings"/>
          <w:kern w:val="0"/>
          <w:sz w:val="24"/>
          <w:lang w:val="en-CA" w:eastAsia="en-CA"/>
        </w:rPr>
        <w:sym w:font="Wingdings" w:char="f0e0"/>
      </w:r>
      <w:r>
        <w:rPr>
          <w:rFonts w:eastAsia="Times New Roman"/>
          <w:sz w:val="24"/>
        </w:rPr>
        <w:t xml:space="preserve"> </w:t>
      </w:r>
      <w:r>
        <w:rPr>
          <w:sz w:val="24"/>
        </w:rPr>
        <w:t>SK Corp. Compensates the loss</w:t>
      </w:r>
    </w:p>
    <w:p>
      <w:pPr>
        <w:pStyle w:val="BodyTextIndent"/>
        <w:rPr>
          <w:sz w:val="24"/>
        </w:rPr>
      </w:pPr>
      <w:r>
        <w:rPr>
          <w:rFonts w:eastAsia="Times New Roman"/>
          <w:sz w:val="24"/>
        </w:rPr>
        <w:t xml:space="preserve"> </w:t>
      </w:r>
      <w:r>
        <w:rPr>
          <w:sz w:val="24"/>
        </w:rPr>
        <w:t xml:space="preserve">o SK Telecom decided selling &amp; expressed consent of participating in this deal to </w:t>
        <w:br/>
        <w:t>SK Group</w:t>
      </w:r>
    </w:p>
    <w:p>
      <w:pPr>
        <w:pStyle w:val="BodyTextIndent"/>
        <w:rPr>
          <w:sz w:val="24"/>
        </w:rPr>
      </w:pPr>
      <w:r>
        <w:rPr>
          <w:sz w:val="24"/>
        </w:rPr>
      </w:r>
    </w:p>
    <w:p>
      <w:pPr>
        <w:pStyle w:val="Normal"/>
        <w:numPr>
          <w:ilvl w:val="0"/>
          <w:numId w:val="3"/>
        </w:numPr>
        <w:rPr>
          <w:b/>
          <w:sz w:val="26"/>
          <w:u w:val="single"/>
        </w:rPr>
      </w:pPr>
      <w:r>
        <w:rPr>
          <w:b/>
          <w:sz w:val="26"/>
          <w:u w:val="single"/>
        </w:rPr>
        <w:t>Compensation</w:t>
      </w:r>
    </w:p>
    <w:p>
      <w:pPr>
        <w:pStyle w:val="Normal"/>
        <w:rPr>
          <w:b/>
          <w:sz w:val="26"/>
          <w:u w:val="single"/>
        </w:rPr>
      </w:pPr>
      <w:r>
        <w:rPr>
          <w:b/>
          <w:sz w:val="26"/>
          <w:u w:val="single"/>
        </w:rPr>
      </w:r>
    </w:p>
    <w:p>
      <w:pPr>
        <w:pStyle w:val="Normal"/>
        <w:ind w:firstLine="255" w:end="0"/>
        <w:rPr>
          <w:rFonts w:eastAsia="돋움;Dotum"/>
          <w:b/>
          <w:i/>
          <w:i/>
          <w:color w:val="000000"/>
          <w:sz w:val="24"/>
        </w:rPr>
      </w:pPr>
      <w:r>
        <w:rPr>
          <w:rFonts w:eastAsia="돋움;Dotum"/>
          <w:b/>
          <w:i/>
          <w:color w:val="000000"/>
          <w:sz w:val="24"/>
        </w:rPr>
        <w:t>Net Income Ef</w:t>
      </w:r>
      <w:r>
        <w:rPr>
          <w:rFonts w:eastAsia="돋움;Dotum"/>
          <w:b/>
          <w:i/>
          <w:color w:val="000000"/>
          <w:sz w:val="24"/>
        </w:rPr>
        <w:t>f</w:t>
      </w:r>
      <w:r>
        <w:rPr>
          <w:rFonts w:eastAsia="돋움;Dotum"/>
          <w:b/>
          <w:i/>
          <w:color w:val="000000"/>
          <w:sz w:val="24"/>
        </w:rPr>
        <w:t>ect of Ildong CC Disposal</w:t>
      </w:r>
    </w:p>
    <w:p>
      <w:pPr>
        <w:pStyle w:val="Normal"/>
        <w:numPr>
          <w:ilvl w:val="0"/>
          <w:numId w:val="4"/>
        </w:numPr>
        <w:rPr>
          <w:rFonts w:eastAsia="돋움;Dotum"/>
          <w:b/>
          <w:color w:val="000000"/>
          <w:sz w:val="24"/>
        </w:rPr>
      </w:pPr>
      <w:r>
        <w:rPr>
          <w:rFonts w:eastAsia="돋움;Dotum"/>
          <w:b/>
          <w:color w:val="000000"/>
          <w:sz w:val="24"/>
        </w:rPr>
        <w:t>Contents of Disposal</w:t>
      </w:r>
    </w:p>
    <w:p>
      <w:pPr>
        <w:pStyle w:val="Normal"/>
        <w:tabs>
          <w:tab w:val="clear" w:pos="851"/>
          <w:tab w:val="right" w:pos="8460" w:leader="none"/>
        </w:tabs>
        <w:ind w:firstLine="255" w:end="44"/>
        <w:rPr>
          <w:sz w:val="22"/>
        </w:rPr>
      </w:pPr>
      <w:r>
        <w:rPr>
          <w:rFonts w:eastAsia="돋움;Dotum"/>
          <w:b/>
          <w:color w:val="000000"/>
          <w:sz w:val="22"/>
        </w:rPr>
        <w:tab/>
      </w:r>
      <w:r>
        <w:rPr>
          <w:rFonts w:eastAsia="돋움;Dotum"/>
          <w:color w:val="000000"/>
          <w:sz w:val="22"/>
        </w:rPr>
        <w:t>(Unit: Thousand Won)</w:t>
      </w:r>
    </w:p>
    <w:tbl>
      <w:tblPr>
        <w:tblW w:w="8460" w:type="dxa"/>
        <w:jc w:val="start"/>
        <w:tblInd w:w="210" w:type="dxa"/>
        <w:tblLayout w:type="fixed"/>
        <w:tblCellMar>
          <w:top w:w="0" w:type="dxa"/>
          <w:start w:w="30" w:type="dxa"/>
          <w:bottom w:w="0" w:type="dxa"/>
          <w:end w:w="30" w:type="dxa"/>
        </w:tblCellMar>
      </w:tblPr>
      <w:tblGrid>
        <w:gridCol w:w="1260"/>
        <w:gridCol w:w="1080"/>
        <w:gridCol w:w="980"/>
        <w:gridCol w:w="1540"/>
        <w:gridCol w:w="3600"/>
      </w:tblGrid>
      <w:tr>
        <w:trPr>
          <w:trHeight w:val="677" w:hRule="atLeast"/>
        </w:trPr>
        <w:tc>
          <w:tcPr>
            <w:tcW w:w="1260" w:type="dxa"/>
            <w:tcBorders>
              <w:top w:val="single" w:sz="6" w:space="0" w:color="000000"/>
              <w:start w:val="single" w:sz="6" w:space="0" w:color="000000"/>
              <w:bottom w:val="single" w:sz="6" w:space="0" w:color="000000"/>
              <w:end w:val="single" w:sz="6" w:space="0" w:color="000000"/>
            </w:tcBorders>
            <w:shd w:fill="E5E5E5" w:val="clear"/>
            <w:vAlign w:val="center"/>
          </w:tcPr>
          <w:p>
            <w:pPr>
              <w:pStyle w:val="Normal"/>
              <w:autoSpaceDE w:val="false"/>
              <w:jc w:val="center"/>
              <w:rPr>
                <w:rFonts w:eastAsia="돋움;Dotum"/>
                <w:b/>
                <w:color w:val="000000"/>
                <w:sz w:val="22"/>
              </w:rPr>
            </w:pPr>
            <w:r>
              <w:rPr>
                <w:rFonts w:eastAsia="돋움;Dotum"/>
                <w:b/>
                <w:color w:val="000000"/>
                <w:sz w:val="22"/>
              </w:rPr>
              <w:t>Acquisition Cost</w:t>
            </w:r>
          </w:p>
        </w:tc>
        <w:tc>
          <w:tcPr>
            <w:tcW w:w="1080" w:type="dxa"/>
            <w:tcBorders>
              <w:top w:val="single" w:sz="6" w:space="0" w:color="000000"/>
              <w:start w:val="single" w:sz="6" w:space="0" w:color="000000"/>
              <w:bottom w:val="single" w:sz="6" w:space="0" w:color="000000"/>
              <w:end w:val="single" w:sz="6" w:space="0" w:color="000000"/>
            </w:tcBorders>
            <w:shd w:fill="E5E5E5" w:val="clear"/>
            <w:vAlign w:val="center"/>
          </w:tcPr>
          <w:p>
            <w:pPr>
              <w:pStyle w:val="Normal"/>
              <w:autoSpaceDE w:val="false"/>
              <w:jc w:val="center"/>
              <w:rPr>
                <w:rFonts w:eastAsia="돋움;Dotum"/>
                <w:b/>
                <w:color w:val="000000"/>
                <w:sz w:val="22"/>
              </w:rPr>
            </w:pPr>
            <w:r>
              <w:rPr>
                <w:rFonts w:eastAsia="돋움;Dotum"/>
                <w:b/>
                <w:color w:val="000000"/>
                <w:sz w:val="22"/>
              </w:rPr>
              <w:t>Transfer Amounts</w:t>
            </w:r>
          </w:p>
        </w:tc>
        <w:tc>
          <w:tcPr>
            <w:tcW w:w="980" w:type="dxa"/>
            <w:tcBorders>
              <w:top w:val="single" w:sz="6" w:space="0" w:color="000000"/>
              <w:start w:val="single" w:sz="6" w:space="0" w:color="000000"/>
              <w:bottom w:val="single" w:sz="6" w:space="0" w:color="000000"/>
              <w:end w:val="single" w:sz="6" w:space="0" w:color="000000"/>
            </w:tcBorders>
            <w:shd w:fill="E5E5E5" w:val="clear"/>
            <w:vAlign w:val="center"/>
          </w:tcPr>
          <w:p>
            <w:pPr>
              <w:pStyle w:val="Normal"/>
              <w:autoSpaceDE w:val="false"/>
              <w:jc w:val="center"/>
              <w:rPr>
                <w:rFonts w:eastAsia="돋움;Dotum"/>
                <w:b/>
                <w:color w:val="000000"/>
                <w:sz w:val="22"/>
              </w:rPr>
            </w:pPr>
            <w:r>
              <w:rPr>
                <w:rFonts w:eastAsia="돋움;Dotum"/>
                <w:b/>
                <w:color w:val="000000"/>
                <w:sz w:val="22"/>
              </w:rPr>
              <w:t xml:space="preserve">Disposal </w:t>
            </w:r>
          </w:p>
          <w:p>
            <w:pPr>
              <w:pStyle w:val="Normal"/>
              <w:autoSpaceDE w:val="false"/>
              <w:jc w:val="center"/>
              <w:rPr>
                <w:rFonts w:eastAsia="돋움;Dotum"/>
                <w:b/>
                <w:color w:val="000000"/>
                <w:sz w:val="22"/>
              </w:rPr>
            </w:pPr>
            <w:r>
              <w:rPr>
                <w:rFonts w:eastAsia="돋움;Dotum"/>
                <w:b/>
                <w:color w:val="000000"/>
                <w:sz w:val="22"/>
              </w:rPr>
              <w:t>Loss</w:t>
            </w:r>
          </w:p>
        </w:tc>
        <w:tc>
          <w:tcPr>
            <w:tcW w:w="1540" w:type="dxa"/>
            <w:tcBorders>
              <w:top w:val="single" w:sz="6" w:space="0" w:color="000000"/>
              <w:start w:val="single" w:sz="6" w:space="0" w:color="000000"/>
              <w:bottom w:val="single" w:sz="6" w:space="0" w:color="000000"/>
              <w:end w:val="single" w:sz="6" w:space="0" w:color="000000"/>
            </w:tcBorders>
            <w:shd w:fill="E5E5E5" w:val="clear"/>
            <w:vAlign w:val="center"/>
          </w:tcPr>
          <w:p>
            <w:pPr>
              <w:pStyle w:val="Normal"/>
              <w:autoSpaceDE w:val="false"/>
              <w:jc w:val="center"/>
              <w:rPr>
                <w:rFonts w:eastAsia="돋움;Dotum"/>
                <w:b/>
                <w:color w:val="000000"/>
                <w:sz w:val="22"/>
              </w:rPr>
            </w:pPr>
            <w:r>
              <w:rPr>
                <w:rFonts w:eastAsia="돋움;Dotum"/>
                <w:b/>
                <w:color w:val="000000"/>
                <w:sz w:val="22"/>
              </w:rPr>
              <w:t>Non-deductible Expenses</w:t>
            </w:r>
          </w:p>
        </w:tc>
        <w:tc>
          <w:tcPr>
            <w:tcW w:w="3600" w:type="dxa"/>
            <w:tcBorders>
              <w:top w:val="single" w:sz="6" w:space="0" w:color="000000"/>
              <w:start w:val="single" w:sz="6" w:space="0" w:color="000000"/>
              <w:bottom w:val="single" w:sz="6" w:space="0" w:color="000000"/>
              <w:end w:val="single" w:sz="6" w:space="0" w:color="000000"/>
            </w:tcBorders>
            <w:shd w:fill="E5E5E5" w:val="clear"/>
            <w:vAlign w:val="center"/>
          </w:tcPr>
          <w:p>
            <w:pPr>
              <w:pStyle w:val="Normal"/>
              <w:autoSpaceDE w:val="false"/>
              <w:jc w:val="center"/>
              <w:rPr>
                <w:rFonts w:eastAsia="돋움;Dotum"/>
                <w:b/>
                <w:color w:val="000000"/>
                <w:sz w:val="22"/>
              </w:rPr>
            </w:pPr>
            <w:r>
              <w:rPr>
                <w:rFonts w:eastAsia="돋움;Dotum"/>
                <w:b/>
                <w:color w:val="000000"/>
                <w:sz w:val="22"/>
              </w:rPr>
              <w:t>Reference</w:t>
            </w:r>
          </w:p>
        </w:tc>
      </w:tr>
      <w:tr>
        <w:trPr>
          <w:trHeight w:val="722"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jc w:val="center"/>
              <w:rPr/>
            </w:pPr>
            <w:r>
              <w:rPr>
                <w:rFonts w:eastAsia="돋움;Dotum"/>
                <w:color w:val="000000"/>
                <w:sz w:val="22"/>
              </w:rPr>
              <w:t>*</w:t>
            </w:r>
            <w:r>
              <w:rPr>
                <w:rFonts w:eastAsia="돋움;Dotum"/>
                <w:color w:val="000000"/>
                <w:sz w:val="22"/>
              </w:rPr>
              <w:t>2,5</w:t>
            </w:r>
            <w:r>
              <w:rPr>
                <w:rFonts w:eastAsia="돋움;Dotum"/>
                <w:color w:val="000000"/>
                <w:sz w:val="22"/>
              </w:rPr>
              <w:t>75,44</w:t>
            </w:r>
            <w:r>
              <w:rPr>
                <w:rFonts w:eastAsia="돋움;Dotum"/>
                <w:color w:val="000000"/>
                <w:sz w:val="22"/>
              </w:rPr>
              <w:t>0</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jc w:val="center"/>
              <w:rPr/>
            </w:pPr>
            <w:r>
              <w:rPr>
                <w:rFonts w:eastAsia="돋움;Dotum"/>
                <w:color w:val="000000"/>
                <w:sz w:val="22"/>
              </w:rPr>
              <w:t>1,134</w:t>
            </w:r>
            <w:r>
              <w:rPr>
                <w:rFonts w:eastAsia="돋움;Dotum"/>
                <w:color w:val="000000"/>
                <w:sz w:val="22"/>
              </w:rPr>
              <w:t>,000</w:t>
            </w:r>
          </w:p>
        </w:tc>
        <w:tc>
          <w:tcPr>
            <w:tcW w:w="98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jc w:val="center"/>
              <w:rPr>
                <w:rFonts w:eastAsia="돋움;Dotum"/>
                <w:color w:val="000000"/>
                <w:sz w:val="22"/>
              </w:rPr>
            </w:pPr>
            <w:r>
              <w:rPr>
                <w:rFonts w:eastAsia="돋움;Dotum"/>
                <w:color w:val="000000"/>
                <w:sz w:val="22"/>
              </w:rPr>
              <w:t>1,441,440</w:t>
            </w:r>
          </w:p>
        </w:tc>
        <w:tc>
          <w:tcPr>
            <w:tcW w:w="15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jc w:val="center"/>
              <w:rPr/>
            </w:pPr>
            <w:r>
              <w:rPr>
                <w:rFonts w:eastAsia="돋움;Dotum"/>
                <w:color w:val="000000"/>
                <w:sz w:val="22"/>
              </w:rPr>
              <w:t>6</w:t>
            </w:r>
            <w:r>
              <w:rPr>
                <w:rFonts w:eastAsia="돋움;Dotum"/>
                <w:color w:val="000000"/>
                <w:sz w:val="22"/>
              </w:rPr>
              <w:t>68,808</w:t>
            </w:r>
          </w:p>
        </w:tc>
        <w:tc>
          <w:tcPr>
            <w:tcW w:w="360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pPr>
            <w:r>
              <w:rPr>
                <w:rFonts w:eastAsia="돋움;Dotum"/>
                <w:color w:val="000000"/>
                <w:sz w:val="22"/>
              </w:rPr>
              <w:t xml:space="preserve">Non-deductible expenses </w:t>
            </w:r>
            <w:r>
              <w:rPr>
                <w:rFonts w:eastAsia="돋움;Dotum"/>
                <w:color w:val="000000"/>
                <w:sz w:val="22"/>
              </w:rPr>
              <w:br/>
            </w:r>
            <w:r>
              <w:rPr>
                <w:rFonts w:eastAsia="돋움;Dotum"/>
                <w:color w:val="000000"/>
                <w:sz w:val="22"/>
              </w:rPr>
              <w:t>= Market Price x 70% - Transfer Price</w:t>
            </w:r>
          </w:p>
        </w:tc>
      </w:tr>
    </w:tbl>
    <w:p>
      <w:pPr>
        <w:pStyle w:val="Normal"/>
        <w:ind w:firstLine="364" w:end="0"/>
        <w:rPr>
          <w:rFonts w:eastAsia="돋움;Dotum"/>
          <w:color w:val="000000"/>
          <w:sz w:val="24"/>
        </w:rPr>
      </w:pPr>
      <w:r>
        <w:rPr>
          <w:rFonts w:eastAsia="돋움;Dotum"/>
          <w:color w:val="000000"/>
          <w:sz w:val="24"/>
        </w:rPr>
        <w:t>* Including acquisition tax : SK Gas</w:t>
      </w:r>
      <w:r>
        <w:rPr>
          <w:rFonts w:eastAsia="돋움;Dotum"/>
          <w:color w:val="000000"/>
          <w:sz w:val="24"/>
        </w:rPr>
        <w:t>’</w:t>
      </w:r>
      <w:r>
        <w:rPr>
          <w:rFonts w:eastAsia="돋움;Dotum"/>
          <w:color w:val="000000"/>
          <w:sz w:val="24"/>
        </w:rPr>
        <w:t xml:space="preserve"> book value</w:t>
      </w:r>
      <w:r>
        <w:br w:type="page"/>
      </w:r>
    </w:p>
    <w:p>
      <w:pPr>
        <w:pStyle w:val="Normal"/>
        <w:ind w:end="0"/>
        <w:rPr>
          <w:rFonts w:eastAsia="돋움;Dotum"/>
          <w:b/>
          <w:color w:val="000000"/>
          <w:sz w:val="24"/>
        </w:rPr>
      </w:pPr>
      <w:r>
        <w:rPr>
          <w:rFonts w:eastAsia="돋움;Dotum"/>
          <w:b/>
          <w:color w:val="000000"/>
          <w:sz w:val="24"/>
        </w:rPr>
        <w:t>Net Income Effect</w:t>
      </w:r>
      <w:r>
        <w:rPr>
          <w:rFonts w:eastAsia="돋움;Dotum"/>
          <w:b/>
          <w:color w:val="000000"/>
          <w:sz w:val="26"/>
        </w:rPr>
        <w:t xml:space="preserve">  </w:t>
      </w:r>
      <w:r>
        <w:rPr>
          <w:rFonts w:eastAsia="돋움;Dotum"/>
          <w:color w:val="000000"/>
          <w:sz w:val="24"/>
        </w:rPr>
        <w:t xml:space="preserve">(Unit: </w:t>
      </w:r>
      <w:r>
        <w:rPr>
          <w:rFonts w:eastAsia="돋움;Dotum"/>
          <w:color w:val="000000"/>
          <w:sz w:val="24"/>
        </w:rPr>
        <w:t>Thousand</w:t>
      </w:r>
      <w:r>
        <w:rPr>
          <w:rFonts w:eastAsia="돋움;Dotum"/>
          <w:color w:val="000000"/>
          <w:sz w:val="24"/>
        </w:rPr>
        <w:t xml:space="preserve"> Won)</w:t>
      </w:r>
    </w:p>
    <w:p>
      <w:pPr>
        <w:pStyle w:val="Normal"/>
        <w:numPr>
          <w:ilvl w:val="0"/>
          <w:numId w:val="5"/>
        </w:numPr>
        <w:autoSpaceDE w:val="false"/>
        <w:rPr>
          <w:rFonts w:eastAsia="돋움;Dotum"/>
          <w:color w:val="000000"/>
          <w:sz w:val="24"/>
        </w:rPr>
      </w:pPr>
      <w:r>
        <w:rPr>
          <w:rFonts w:eastAsia="돋움;Dotum"/>
          <w:color w:val="000000"/>
          <w:sz w:val="24"/>
        </w:rPr>
        <w:t xml:space="preserve">Original Tax Shield </w:t>
      </w:r>
      <w:r>
        <w:rPr>
          <w:rFonts w:eastAsia="돋움;Dotum"/>
          <w:color w:val="000000"/>
          <w:sz w:val="24"/>
        </w:rPr>
        <w:t xml:space="preserve">(a) </w:t>
      </w:r>
      <w:r>
        <w:rPr>
          <w:rFonts w:eastAsia="돋움;Dotum"/>
          <w:color w:val="000000"/>
          <w:sz w:val="24"/>
        </w:rPr>
        <w:t>= 4</w:t>
      </w:r>
      <w:r>
        <w:rPr>
          <w:rFonts w:eastAsia="돋움;Dotum"/>
          <w:color w:val="000000"/>
          <w:sz w:val="24"/>
        </w:rPr>
        <w:t>43,964</w:t>
      </w:r>
      <w:r>
        <w:rPr>
          <w:rFonts w:eastAsia="돋움;Dotum"/>
          <w:color w:val="000000"/>
          <w:sz w:val="24"/>
        </w:rPr>
        <w:t xml:space="preserve"> (1,</w:t>
      </w:r>
      <w:r>
        <w:rPr>
          <w:rFonts w:eastAsia="돋움;Dotum"/>
          <w:color w:val="000000"/>
          <w:sz w:val="24"/>
        </w:rPr>
        <w:t>441,440</w:t>
      </w:r>
      <w:r>
        <w:rPr>
          <w:rFonts w:eastAsia="돋움;Dotum"/>
          <w:color w:val="000000"/>
          <w:sz w:val="24"/>
        </w:rPr>
        <w:t xml:space="preserve"> x 30.8 %)</w:t>
      </w:r>
    </w:p>
    <w:p>
      <w:pPr>
        <w:pStyle w:val="Normal"/>
        <w:numPr>
          <w:ilvl w:val="0"/>
          <w:numId w:val="5"/>
        </w:numPr>
        <w:autoSpaceDE w:val="false"/>
        <w:rPr>
          <w:rFonts w:eastAsia="돋움;Dotum"/>
          <w:color w:val="000000"/>
          <w:sz w:val="24"/>
        </w:rPr>
      </w:pPr>
      <w:r>
        <w:rPr>
          <w:rFonts w:eastAsia="돋움;Dotum"/>
          <w:color w:val="000000"/>
          <w:sz w:val="24"/>
        </w:rPr>
        <w:t xml:space="preserve">Tax due to non-deductible expenses </w:t>
      </w:r>
      <w:r>
        <w:rPr>
          <w:rFonts w:eastAsia="돋움;Dotum"/>
          <w:color w:val="000000"/>
          <w:sz w:val="24"/>
        </w:rPr>
        <w:t xml:space="preserve">(b) </w:t>
      </w:r>
      <w:r>
        <w:rPr>
          <w:rFonts w:eastAsia="돋움;Dotum"/>
          <w:color w:val="000000"/>
          <w:sz w:val="24"/>
        </w:rPr>
        <w:t xml:space="preserve">= </w:t>
      </w:r>
      <w:r>
        <w:rPr>
          <w:rFonts w:eastAsia="돋움;Dotum"/>
          <w:color w:val="000000"/>
          <w:sz w:val="24"/>
        </w:rPr>
        <w:t>205,993</w:t>
      </w:r>
      <w:r>
        <w:rPr>
          <w:rFonts w:eastAsia="돋움;Dotum"/>
          <w:color w:val="000000"/>
          <w:sz w:val="24"/>
        </w:rPr>
        <w:t xml:space="preserve"> (6</w:t>
      </w:r>
      <w:r>
        <w:rPr>
          <w:rFonts w:eastAsia="돋움;Dotum"/>
          <w:color w:val="000000"/>
          <w:sz w:val="24"/>
        </w:rPr>
        <w:t>68,808</w:t>
      </w:r>
      <w:r>
        <w:rPr>
          <w:rFonts w:eastAsia="돋움;Dotum"/>
          <w:color w:val="000000"/>
          <w:sz w:val="24"/>
        </w:rPr>
        <w:t xml:space="preserve"> x 30.8%)</w:t>
      </w:r>
    </w:p>
    <w:p>
      <w:pPr>
        <w:pStyle w:val="Normal"/>
        <w:numPr>
          <w:ilvl w:val="0"/>
          <w:numId w:val="5"/>
        </w:numPr>
        <w:autoSpaceDE w:val="false"/>
        <w:rPr>
          <w:rFonts w:eastAsia="돋움;Dotum"/>
          <w:color w:val="000000"/>
          <w:sz w:val="24"/>
        </w:rPr>
      </w:pPr>
      <w:r>
        <w:rPr>
          <w:rFonts w:eastAsia="돋움;Dotum"/>
          <w:color w:val="000000"/>
          <w:sz w:val="24"/>
        </w:rPr>
        <w:t xml:space="preserve">Net Tax Shield </w:t>
      </w:r>
      <w:r>
        <w:rPr>
          <w:rFonts w:eastAsia="돋움;Dotum"/>
          <w:color w:val="000000"/>
          <w:sz w:val="24"/>
        </w:rPr>
        <w:t xml:space="preserve">(a-b) </w:t>
      </w:r>
      <w:r>
        <w:rPr>
          <w:rFonts w:eastAsia="돋움;Dotum"/>
          <w:color w:val="000000"/>
          <w:sz w:val="24"/>
        </w:rPr>
        <w:t>= 237,971</w:t>
      </w:r>
    </w:p>
    <w:p>
      <w:pPr>
        <w:pStyle w:val="Normal"/>
        <w:numPr>
          <w:ilvl w:val="0"/>
          <w:numId w:val="5"/>
        </w:numPr>
        <w:autoSpaceDE w:val="false"/>
        <w:rPr>
          <w:rFonts w:eastAsia="돋움;Dotum"/>
          <w:color w:val="000000"/>
          <w:sz w:val="24"/>
        </w:rPr>
      </w:pPr>
      <w:r>
        <w:rPr>
          <w:rFonts w:eastAsia="돋움;Dotum"/>
          <w:color w:val="000000"/>
          <w:sz w:val="24"/>
        </w:rPr>
        <w:t>Net Loss = 1,</w:t>
      </w:r>
      <w:r>
        <w:rPr>
          <w:rFonts w:eastAsia="돋움;Dotum"/>
          <w:color w:val="000000"/>
          <w:sz w:val="24"/>
        </w:rPr>
        <w:t>203,469</w:t>
      </w:r>
      <w:r>
        <w:rPr>
          <w:rFonts w:eastAsia="돋움;Dotum"/>
          <w:color w:val="000000"/>
          <w:sz w:val="24"/>
        </w:rPr>
        <w:t xml:space="preserve"> (Disposal </w:t>
      </w:r>
      <w:r>
        <w:rPr>
          <w:rFonts w:eastAsia="돋움;Dotum"/>
          <w:color w:val="000000"/>
          <w:sz w:val="24"/>
        </w:rPr>
        <w:t>Loss</w:t>
      </w:r>
      <w:r>
        <w:rPr>
          <w:rFonts w:eastAsia="돋움;Dotum"/>
          <w:color w:val="000000"/>
          <w:sz w:val="24"/>
        </w:rPr>
        <w:t>- Net Tax Shield)</w:t>
      </w:r>
    </w:p>
    <w:p>
      <w:pPr>
        <w:pStyle w:val="Normal"/>
        <w:autoSpaceDE w:val="false"/>
        <w:ind w:start="480" w:end="0"/>
        <w:rPr>
          <w:rFonts w:eastAsia="돋움;Dotum"/>
          <w:color w:val="000000"/>
          <w:sz w:val="24"/>
        </w:rPr>
      </w:pPr>
      <w:r>
        <w:rPr>
          <w:rFonts w:eastAsia="돋움;Dotum"/>
          <w:color w:val="000000"/>
          <w:sz w:val="24"/>
        </w:rPr>
      </w:r>
    </w:p>
    <w:p>
      <w:pPr>
        <w:pStyle w:val="Normal"/>
        <w:numPr>
          <w:ilvl w:val="0"/>
          <w:numId w:val="4"/>
        </w:numPr>
        <w:autoSpaceDE w:val="false"/>
        <w:snapToGrid w:val="false"/>
        <w:ind w:hanging="357" w:start="612" w:end="0"/>
        <w:jc w:val="start"/>
        <w:rPr>
          <w:rFonts w:eastAsia="돋움;Dotum"/>
          <w:b/>
          <w:color w:val="000000"/>
          <w:sz w:val="24"/>
        </w:rPr>
      </w:pPr>
      <w:r>
        <w:rPr>
          <w:rFonts w:eastAsia="돋움;Dotum"/>
          <w:b/>
          <w:color w:val="000000"/>
          <w:sz w:val="24"/>
        </w:rPr>
        <w:t>SK-Enron portion</w:t>
      </w:r>
      <w:r>
        <w:rPr>
          <w:rFonts w:eastAsia="돋움;Dotum"/>
          <w:b/>
          <w:color w:val="000000"/>
          <w:sz w:val="24"/>
        </w:rPr>
        <w:t>(SK Compensation)</w:t>
      </w:r>
      <w:r>
        <w:rPr>
          <w:rFonts w:eastAsia="돋움;Dotum"/>
          <w:b/>
          <w:color w:val="000000"/>
          <w:sz w:val="24"/>
        </w:rPr>
        <w:t xml:space="preserve"> </w:t>
      </w:r>
      <w:r>
        <w:rPr>
          <w:rFonts w:eastAsia="돋움;Dotum"/>
          <w:color w:val="000000"/>
          <w:sz w:val="24"/>
        </w:rPr>
        <w:t>: 1,203,469 X 4</w:t>
      </w:r>
      <w:r>
        <w:rPr>
          <w:rFonts w:eastAsia="돋움;Dotum"/>
          <w:color w:val="000000"/>
          <w:sz w:val="24"/>
        </w:rPr>
        <w:t>9</w:t>
      </w:r>
      <w:r>
        <w:rPr>
          <w:rFonts w:eastAsia="돋움;Dotum"/>
          <w:color w:val="000000"/>
          <w:sz w:val="24"/>
        </w:rPr>
        <w:t>.5</w:t>
      </w:r>
      <w:r>
        <w:rPr>
          <w:rFonts w:eastAsia="돋움;Dotum"/>
          <w:color w:val="000000"/>
          <w:sz w:val="24"/>
        </w:rPr>
        <w:t>5</w:t>
      </w:r>
      <w:r>
        <w:rPr>
          <w:rFonts w:eastAsia="돋움;Dotum"/>
          <w:color w:val="000000"/>
          <w:sz w:val="24"/>
        </w:rPr>
        <w:t xml:space="preserve">% = </w:t>
      </w:r>
      <w:r>
        <w:rPr>
          <w:rFonts w:eastAsia="돋움;Dotum"/>
          <w:b/>
          <w:color w:val="000000"/>
          <w:sz w:val="24"/>
        </w:rPr>
        <w:t xml:space="preserve">596,319.  </w:t>
      </w:r>
    </w:p>
    <w:p>
      <w:pPr>
        <w:pStyle w:val="Normal"/>
        <w:rPr>
          <w:rFonts w:eastAsia="돋움;Dotum"/>
          <w:b/>
          <w:color w:val="000000"/>
          <w:sz w:val="26"/>
        </w:rPr>
      </w:pPr>
      <w:r>
        <w:rPr>
          <w:rFonts w:eastAsia="돋움;Dotum"/>
          <w:b/>
          <w:color w:val="000000"/>
          <w:sz w:val="26"/>
        </w:rPr>
      </w:r>
    </w:p>
    <w:p>
      <w:pPr>
        <w:pStyle w:val="Normal"/>
        <w:rPr>
          <w:rFonts w:eastAsia="돋움;Dotum"/>
          <w:b/>
          <w:color w:val="000000"/>
          <w:sz w:val="26"/>
        </w:rPr>
      </w:pPr>
      <w:r>
        <w:rPr>
          <w:rFonts w:eastAsia="돋움;Dotum"/>
          <w:b/>
          <w:color w:val="000000"/>
          <w:sz w:val="26"/>
        </w:rPr>
      </w:r>
    </w:p>
    <w:p>
      <w:pPr>
        <w:pStyle w:val="Normal"/>
        <w:rPr>
          <w:rFonts w:eastAsia="돋움;Dotum"/>
          <w:b/>
          <w:color w:val="000000"/>
          <w:sz w:val="24"/>
        </w:rPr>
      </w:pPr>
      <w:r>
        <w:rPr>
          <w:rFonts w:eastAsia="돋움;Dotum"/>
          <w:b/>
          <w:color w:val="000000"/>
          <w:sz w:val="24"/>
        </w:rPr>
      </w:r>
    </w:p>
    <w:p>
      <w:pPr>
        <w:pStyle w:val="Normal"/>
        <w:numPr>
          <w:ilvl w:val="0"/>
          <w:numId w:val="3"/>
        </w:numPr>
        <w:rPr>
          <w:b/>
          <w:sz w:val="26"/>
          <w:u w:val="single"/>
        </w:rPr>
      </w:pPr>
      <w:r>
        <w:rPr>
          <w:b/>
          <w:sz w:val="26"/>
          <w:u w:val="single"/>
        </w:rPr>
        <w:t>Risk analysis by legal adviser</w:t>
      </w:r>
    </w:p>
    <w:p>
      <w:pPr>
        <w:pStyle w:val="Normal"/>
        <w:numPr>
          <w:ilvl w:val="0"/>
          <w:numId w:val="2"/>
        </w:numPr>
        <w:rPr>
          <w:b/>
          <w:sz w:val="24"/>
        </w:rPr>
      </w:pPr>
      <w:r>
        <w:rPr>
          <w:b/>
          <w:sz w:val="24"/>
        </w:rPr>
        <w:t>Tax Risk</w:t>
      </w:r>
    </w:p>
    <w:p>
      <w:pPr>
        <w:pStyle w:val="Normal"/>
        <w:ind w:start="615" w:end="0"/>
        <w:rPr/>
      </w:pPr>
      <w:r>
        <w:rPr>
          <w:sz w:val="24"/>
        </w:rPr>
        <w:t xml:space="preserve">Article 35 of the Enforcement Decree of the Corporate Tax Act provides that where a corporation transfers assets to a person other than a specially-related person at a price below the normal value or buys assets from such person at a price above the normal value without justifiable reasons, then the portion of such difference which is considered as gift shall be deemed as a donation.  It further provides that in such case, the value within the range of 30% higher or lower than the market value shall be considered as the </w:t>
      </w:r>
      <w:r>
        <w:rPr>
          <w:sz w:val="24"/>
        </w:rPr>
        <w:t>“</w:t>
      </w:r>
      <w:r>
        <w:rPr>
          <w:sz w:val="24"/>
        </w:rPr>
        <w:t>normal</w:t>
      </w:r>
      <w:r>
        <w:rPr>
          <w:sz w:val="24"/>
        </w:rPr>
        <w:t>”</w:t>
      </w:r>
      <w:r>
        <w:rPr>
          <w:sz w:val="24"/>
        </w:rPr>
        <w:t xml:space="preserve"> value.</w:t>
      </w:r>
    </w:p>
    <w:p>
      <w:pPr>
        <w:pStyle w:val="Normal"/>
        <w:ind w:start="615" w:end="0"/>
        <w:rPr>
          <w:sz w:val="24"/>
        </w:rPr>
      </w:pPr>
      <w:r>
        <w:rPr>
          <w:sz w:val="24"/>
        </w:rPr>
        <w:t>According to the public notice of the National Tax Service published on February 1, 2001, the standard market value of the Memberships (of Ildong CC) was set at 180,000,000 Won per unit.  The price 30% lower than such standard market price is 126,000,000 Won, which is the threshold amount of the normal value.  If SK GAS sells the Membership at a price lower than 126,000,000 Won per unit, then the difference between the actual price per unit and 126,000,000 Won will be deemed to be a donation in accordance with Article 35 of the Enforcement Decree of the Corporate Tax Act, which shall not be deductible by SK GAS.</w:t>
      </w:r>
    </w:p>
    <w:p>
      <w:pPr>
        <w:pStyle w:val="Normal"/>
        <w:ind w:start="615" w:end="0"/>
        <w:rPr/>
      </w:pPr>
      <w:r>
        <w:rPr>
          <w:sz w:val="24"/>
        </w:rPr>
        <w:t>If</w:t>
      </w:r>
      <w:r>
        <w:rPr>
          <w:sz w:val="24"/>
        </w:rPr>
        <w:t xml:space="preserve"> a portion of the loss from the sale of the Memberships at a low price is considered as nondeductible donation, such non-deductibility of loss will affect the profit of SK GAS and its shareholder, SK-Enron, as well as Enron, to be calculated as above.</w:t>
      </w:r>
    </w:p>
    <w:p>
      <w:pPr>
        <w:pStyle w:val="Normal"/>
        <w:ind w:start="285" w:end="0"/>
        <w:rPr>
          <w:b/>
          <w:sz w:val="24"/>
        </w:rPr>
      </w:pPr>
      <w:r>
        <w:rPr>
          <w:b/>
          <w:sz w:val="24"/>
        </w:rPr>
      </w:r>
    </w:p>
    <w:p>
      <w:pPr>
        <w:pStyle w:val="Normal"/>
        <w:numPr>
          <w:ilvl w:val="0"/>
          <w:numId w:val="2"/>
        </w:numPr>
        <w:rPr>
          <w:b/>
          <w:sz w:val="24"/>
        </w:rPr>
      </w:pPr>
      <w:r>
        <w:rPr>
          <w:b/>
          <w:sz w:val="24"/>
        </w:rPr>
        <w:t>Fair Trade Risk</w:t>
      </w:r>
    </w:p>
    <w:p>
      <w:pPr>
        <w:pStyle w:val="2"/>
        <w:rPr/>
      </w:pPr>
      <w:r>
        <w:rPr/>
        <w:t xml:space="preserve">According to Article 23, Paragraph 1, Sub-Paragraph 7 of the MRFTA, </w:t>
      </w:r>
      <w:r>
        <w:rPr/>
        <w:t>“</w:t>
      </w:r>
      <w:r>
        <w:rPr/>
        <w:t>an act of assisting specially-related persons or other companies by transacting under substantially favorable terms, which is likely to impede fair trade</w:t>
      </w:r>
      <w:r>
        <w:rPr/>
        <w:t>”</w:t>
      </w:r>
      <w:r>
        <w:rPr/>
        <w:t xml:space="preserve"> constitutes a prohibited unfair trade practice.  If a violation of the above prohibition occurs, the Fair Trade Commission (hereinafter, the </w:t>
      </w:r>
      <w:r>
        <w:rPr/>
        <w:t>“</w:t>
      </w:r>
      <w:r>
        <w:rPr/>
        <w:t>FTC</w:t>
      </w:r>
      <w:r>
        <w:rPr/>
        <w:t>”</w:t>
      </w:r>
      <w:r>
        <w:rPr/>
        <w:t>) may issue such a corrective measure as order to discontinue the unfair trade practices and/or to publish the fact that a violation has occurred under Article 24 of the MRFTA, and may impose on the violator a fine not exceeding 500,000,000 Won under Article 24-2 of the MRFTA.  In the event the FTC files charges, then the violator may be subject to an imprisonment of not more than two (2) years or a fine of not more than 150,000,000 Won.</w:t>
      </w:r>
    </w:p>
    <w:p>
      <w:pPr>
        <w:pStyle w:val="2"/>
        <w:rPr/>
      </w:pPr>
      <w:r>
        <w:rPr/>
        <w:t xml:space="preserve">In the present case, the third party to purchase the Memberships from SK GAS is a reputable conglomerate in Korea, which already occupies an advantageous position in the field of business it is engaged in.  Accordingly, even if SK GAS is found to provide </w:t>
      </w:r>
      <w:r>
        <w:rPr/>
        <w:t>“assistance”</w:t>
      </w:r>
      <w:r>
        <w:rPr/>
        <w:t xml:space="preserve"> by transferring the Memberships at half of their book value to the above purchaser, it may not be considered as unfair, since such assistance would not be considered to (i) strengthen the favorable position of the third party beneficiary, (ii) eliminate competitors of the beneficiary, or (iii) put the beneficiary in a substantially better position to compete in the area of business that it is engaged in.</w:t>
      </w:r>
    </w:p>
    <w:p>
      <w:pPr>
        <w:pStyle w:val="2"/>
        <w:rPr/>
      </w:pPr>
      <w:r>
        <w:rPr/>
        <w:t>It may be difficult to find that the proposed transfer of the Memberships by SK GAS to the third party at half the price of the book value falls under an unfair act of assistance under the Monopoly Regulation and Fair Trade Act (</w:t>
      </w:r>
      <w:r>
        <w:rPr/>
        <w:t>“</w:t>
      </w:r>
      <w:r>
        <w:rPr/>
        <w:t>MRFTA</w:t>
      </w:r>
      <w:r>
        <w:rPr/>
        <w:t>”</w:t>
      </w:r>
      <w:r>
        <w:rPr/>
        <w:t>).  Therefore, if an issue of violation of the MRFTA is raised, SK GAS may defend against charges of violation based on the above reasoning.</w:t>
      </w:r>
    </w:p>
    <w:p>
      <w:pPr>
        <w:pStyle w:val="2"/>
        <w:ind w:start="285" w:end="0"/>
        <w:rPr>
          <w:b/>
        </w:rPr>
      </w:pPr>
      <w:r>
        <w:rPr>
          <w:b/>
        </w:rPr>
      </w:r>
    </w:p>
    <w:p>
      <w:pPr>
        <w:pStyle w:val="2"/>
        <w:numPr>
          <w:ilvl w:val="0"/>
          <w:numId w:val="2"/>
        </w:numPr>
        <w:rPr>
          <w:b/>
        </w:rPr>
      </w:pPr>
      <w:r>
        <w:rPr>
          <w:b/>
        </w:rPr>
        <w:t>Risk under the Korean Commercial Code (</w:t>
      </w:r>
      <w:r>
        <w:rPr>
          <w:b/>
        </w:rPr>
        <w:t>“</w:t>
      </w:r>
      <w:r>
        <w:rPr>
          <w:b/>
        </w:rPr>
        <w:t>KCC</w:t>
      </w:r>
      <w:r>
        <w:rPr>
          <w:b/>
        </w:rPr>
        <w:t>”</w:t>
      </w:r>
      <w:r>
        <w:rPr>
          <w:b/>
        </w:rPr>
        <w:t>)</w:t>
      </w:r>
    </w:p>
    <w:p>
      <w:pPr>
        <w:pStyle w:val="3"/>
        <w:rPr/>
      </w:pPr>
      <w:r>
        <w:rPr/>
        <w:t>If SK Gas does not have any reason to continue to hold the Memberships and SK Gas makes a business judgment that it is favorable to sell the Memberships at proper prices right now, SK Gas is not able to find a third party to purchase the Memberships above at half the price of the book value.  And if the value of the Memberships in the near future would not be expected to increase substantially above half the price of the book value, such circumstances would constitute justifiable business reasons for the sale of the Membership at half the price of the book value.</w:t>
      </w:r>
    </w:p>
    <w:p>
      <w:pPr>
        <w:pStyle w:val="Normal"/>
        <w:ind w:start="615" w:end="0"/>
        <w:rPr>
          <w:sz w:val="24"/>
        </w:rPr>
      </w:pPr>
      <w:r>
        <w:rPr>
          <w:sz w:val="24"/>
        </w:rPr>
      </w:r>
    </w:p>
    <w:p>
      <w:pPr>
        <w:pStyle w:val="Normal"/>
        <w:ind w:start="615" w:end="0"/>
        <w:rPr/>
      </w:pPr>
      <w:r>
        <w:rPr>
          <w:sz w:val="24"/>
        </w:rPr>
        <w:t xml:space="preserve">If </w:t>
      </w:r>
      <w:r>
        <w:rPr>
          <w:sz w:val="24"/>
        </w:rPr>
        <w:t xml:space="preserve">any member of the Board assents to the sale of the Memberships, because there exists justifiable business reasons for such sale, such directors will not be said to have violated </w:t>
      </w:r>
      <w:r>
        <w:rPr>
          <w:sz w:val="24"/>
        </w:rPr>
        <w:t>their</w:t>
      </w:r>
      <w:r>
        <w:rPr>
          <w:sz w:val="24"/>
        </w:rPr>
        <w:t xml:space="preserve"> fiduciary duty to SK Gas and, as such, such directors will not be held liable to the company for such sale.</w:t>
      </w:r>
    </w:p>
    <w:p>
      <w:pPr>
        <w:pStyle w:val="Normal"/>
        <w:ind w:start="615" w:end="0"/>
        <w:rPr>
          <w:sz w:val="24"/>
        </w:rPr>
      </w:pPr>
      <w:r>
        <w:rPr>
          <w:sz w:val="24"/>
        </w:rPr>
      </w:r>
    </w:p>
    <w:p>
      <w:pPr>
        <w:pStyle w:val="Normal"/>
        <w:ind w:start="615" w:end="0"/>
        <w:rPr/>
      </w:pPr>
      <w:r>
        <w:rPr>
          <w:sz w:val="24"/>
        </w:rPr>
        <w:t>According to Article 399 of the KCC, if the directors</w:t>
      </w:r>
      <w:r>
        <w:rPr>
          <w:sz w:val="24"/>
        </w:rPr>
        <w:t>’</w:t>
      </w:r>
      <w:r>
        <w:rPr>
          <w:sz w:val="24"/>
        </w:rPr>
        <w:t xml:space="preserve"> breach of any laws and decrees, or the Articles of Incorporation, or their neglect in performance of the duties is brought about by a resolution of the Board of Directors, </w:t>
      </w:r>
      <w:r>
        <w:rPr>
          <w:sz w:val="24"/>
        </w:rPr>
        <w:t>the</w:t>
      </w:r>
      <w:r>
        <w:rPr>
          <w:sz w:val="24"/>
        </w:rPr>
        <w:t xml:space="preserve"> directors, who have assented to such resolution, shall be held jointly and severally liable, but the directors who are recorded in the minutes to have objected to such resolution shall avoid liabilities.</w:t>
      </w:r>
    </w:p>
    <w:p>
      <w:pPr>
        <w:pStyle w:val="Normal"/>
        <w:ind w:start="615" w:end="0"/>
        <w:rPr>
          <w:sz w:val="24"/>
        </w:rPr>
      </w:pPr>
      <w:r>
        <w:rPr>
          <w:sz w:val="24"/>
        </w:rPr>
      </w:r>
    </w:p>
    <w:p>
      <w:pPr>
        <w:pStyle w:val="2"/>
        <w:numPr>
          <w:ilvl w:val="0"/>
          <w:numId w:val="2"/>
        </w:numPr>
        <w:rPr>
          <w:b/>
        </w:rPr>
      </w:pPr>
      <w:r>
        <w:rPr>
          <w:b/>
        </w:rPr>
        <w:t xml:space="preserve">Liabilities of SK-Enron </w:t>
      </w:r>
    </w:p>
    <w:p>
      <w:pPr>
        <w:pStyle w:val="Normal"/>
        <w:ind w:start="615" w:end="0"/>
        <w:rPr/>
      </w:pPr>
      <w:r>
        <w:rPr>
          <w:sz w:val="24"/>
        </w:rPr>
        <w:t xml:space="preserve">Even if SK-Enron approves of the proposed sale in accordance with Article 39, Paragraph (xi) of its Articles of Incorporation, SK-Enron is only a shareholder of SK GAS, and such approval would only concern the sale of an asset of its subsidiary, SK GAS.  </w:t>
      </w:r>
      <w:r>
        <w:rPr>
          <w:sz w:val="24"/>
        </w:rPr>
        <w:t>SK GAS, who is the party to the proposed transaction, through a resolution of its Board of Directors, will make the actual sale of the Memberships</w:t>
      </w:r>
      <w:r>
        <w:rPr>
          <w:sz w:val="24"/>
        </w:rPr>
        <w:t>.  Therefore, even if the Board of Directors of SK-Enron takes a resolution to approve of the sale of the Memberships, neither SK-Enron nor any members of SK-Enron</w:t>
      </w:r>
      <w:r>
        <w:rPr>
          <w:sz w:val="24"/>
        </w:rPr>
        <w:t>’</w:t>
      </w:r>
      <w:r>
        <w:rPr>
          <w:sz w:val="24"/>
        </w:rPr>
        <w:t>s Board of Directors would be held liable to SK GAS or any shareholders of SK GAS.</w:t>
      </w:r>
    </w:p>
    <w:p>
      <w:pPr>
        <w:pStyle w:val="Normal"/>
        <w:ind w:start="615" w:end="0"/>
        <w:rPr/>
      </w:pPr>
      <w:r>
        <w:rPr>
          <w:sz w:val="24"/>
        </w:rPr>
        <w:t xml:space="preserve">Even if circumstance arise whereby any Board member of SK-Enron is to be held liable to SK-Enron with regard to the sale of the Memberships, no civil liability would likely be forthcoming and there would be only a </w:t>
      </w:r>
      <w:r>
        <w:rPr>
          <w:sz w:val="24"/>
        </w:rPr>
        <w:t>minimal possibility</w:t>
      </w:r>
      <w:r>
        <w:rPr>
          <w:sz w:val="24"/>
        </w:rPr>
        <w:t xml:space="preserve"> of criminal liability imposed upon SK-Enron</w:t>
      </w:r>
      <w:r>
        <w:rPr>
          <w:sz w:val="24"/>
        </w:rPr>
        <w:t>’</w:t>
      </w:r>
      <w:r>
        <w:rPr>
          <w:sz w:val="24"/>
        </w:rPr>
        <w:t>s Board of Directors, unless, of course, SK-Enron</w:t>
      </w:r>
      <w:r>
        <w:rPr>
          <w:sz w:val="24"/>
        </w:rPr>
        <w:t>’</w:t>
      </w:r>
      <w:r>
        <w:rPr>
          <w:sz w:val="24"/>
        </w:rPr>
        <w:t>s shareholders raise any objections to the Board of Directors decision to assent to such resolution.</w:t>
      </w:r>
    </w:p>
    <w:p>
      <w:pPr>
        <w:pStyle w:val="Normal"/>
        <w:ind w:start="615" w:end="0"/>
        <w:rPr>
          <w:sz w:val="24"/>
        </w:rPr>
      </w:pPr>
      <w:r>
        <w:rPr>
          <w:sz w:val="24"/>
        </w:rPr>
      </w:r>
    </w:p>
    <w:p>
      <w:pPr>
        <w:pStyle w:val="Normal"/>
        <w:jc w:val="center"/>
        <w:rPr>
          <w:b/>
          <w:sz w:val="24"/>
        </w:rPr>
      </w:pPr>
      <w:r>
        <w:rPr>
          <w:b/>
          <w:sz w:val="26"/>
        </w:rPr>
        <w:t>&lt;Total transaction &amp; SK amount&gt;</w:t>
      </w:r>
    </w:p>
    <w:p>
      <w:pPr>
        <w:pStyle w:val="Heading1"/>
        <w:tabs>
          <w:tab w:val="clear" w:pos="851"/>
          <w:tab w:val="right" w:pos="8600" w:leader="none"/>
        </w:tabs>
        <w:ind w:firstLine="285" w:start="0" w:end="0"/>
        <w:jc w:val="both"/>
        <w:rPr>
          <w:sz w:val="24"/>
        </w:rPr>
      </w:pPr>
      <w:r>
        <w:rPr>
          <w:sz w:val="24"/>
        </w:rPr>
        <w:tab/>
        <w:t>(Unit: Million Won)</w:t>
      </w:r>
    </w:p>
    <w:tbl>
      <w:tblPr>
        <w:tblW w:w="8321" w:type="dxa"/>
        <w:jc w:val="start"/>
        <w:tblInd w:w="379" w:type="dxa"/>
        <w:tblLayout w:type="fixed"/>
        <w:tblCellMar>
          <w:top w:w="0" w:type="dxa"/>
          <w:start w:w="99" w:type="dxa"/>
          <w:bottom w:w="0" w:type="dxa"/>
          <w:end w:w="99" w:type="dxa"/>
        </w:tblCellMar>
      </w:tblPr>
      <w:tblGrid>
        <w:gridCol w:w="1540"/>
        <w:gridCol w:w="1561"/>
        <w:gridCol w:w="1740"/>
        <w:gridCol w:w="1740"/>
        <w:gridCol w:w="1740"/>
      </w:tblGrid>
      <w:tr>
        <w:trPr/>
        <w:tc>
          <w:tcPr>
            <w:tcW w:w="1540"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b/>
                <w:sz w:val="24"/>
              </w:rPr>
            </w:pPr>
            <w:r>
              <w:rPr>
                <w:b/>
                <w:sz w:val="24"/>
              </w:rPr>
            </w:r>
          </w:p>
        </w:tc>
        <w:tc>
          <w:tcPr>
            <w:tcW w:w="1561"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jc w:val="center"/>
              <w:rPr>
                <w:b/>
                <w:sz w:val="24"/>
              </w:rPr>
            </w:pPr>
            <w:r>
              <w:rPr>
                <w:b/>
                <w:sz w:val="24"/>
              </w:rPr>
              <w:t>Book Value</w:t>
            </w:r>
          </w:p>
        </w:tc>
        <w:tc>
          <w:tcPr>
            <w:tcW w:w="1740"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jc w:val="center"/>
              <w:rPr>
                <w:b/>
                <w:sz w:val="24"/>
              </w:rPr>
            </w:pPr>
            <w:r>
              <w:rPr>
                <w:b/>
                <w:sz w:val="24"/>
              </w:rPr>
              <w:t>No. of Membership</w:t>
            </w:r>
          </w:p>
        </w:tc>
        <w:tc>
          <w:tcPr>
            <w:tcW w:w="1740"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jc w:val="center"/>
              <w:rPr>
                <w:b/>
                <w:sz w:val="24"/>
              </w:rPr>
            </w:pPr>
            <w:r>
              <w:rPr>
                <w:b/>
                <w:sz w:val="24"/>
              </w:rPr>
              <w:t>Sales Amount</w:t>
            </w:r>
          </w:p>
        </w:tc>
        <w:tc>
          <w:tcPr>
            <w:tcW w:w="1740"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jc w:val="center"/>
              <w:rPr>
                <w:b/>
                <w:sz w:val="24"/>
              </w:rPr>
            </w:pPr>
            <w:r>
              <w:rPr>
                <w:b/>
                <w:sz w:val="24"/>
              </w:rPr>
              <w:t>Loss</w:t>
            </w:r>
          </w:p>
        </w:tc>
      </w:tr>
      <w:tr>
        <w:trPr/>
        <w:tc>
          <w:tcPr>
            <w:tcW w:w="1540" w:type="dxa"/>
            <w:tcBorders>
              <w:top w:val="single" w:sz="4" w:space="0" w:color="000000"/>
              <w:start w:val="single" w:sz="4" w:space="0" w:color="000000"/>
              <w:end w:val="single" w:sz="4" w:space="0" w:color="000000"/>
            </w:tcBorders>
            <w:shd w:fill="E5E5E5" w:val="clear"/>
            <w:vAlign w:val="center"/>
          </w:tcPr>
          <w:p>
            <w:pPr>
              <w:pStyle w:val="Normal"/>
              <w:jc w:val="center"/>
              <w:rPr>
                <w:b/>
                <w:sz w:val="24"/>
              </w:rPr>
            </w:pPr>
            <w:r>
              <w:rPr>
                <w:b/>
                <w:sz w:val="24"/>
              </w:rPr>
              <w:t>SK Corp.</w:t>
            </w:r>
          </w:p>
        </w:tc>
        <w:tc>
          <w:tcPr>
            <w:tcW w:w="1561" w:type="dxa"/>
            <w:tcBorders>
              <w:top w:val="single" w:sz="4" w:space="0" w:color="000000"/>
              <w:start w:val="single" w:sz="4" w:space="0" w:color="000000"/>
              <w:end w:val="single" w:sz="4" w:space="0" w:color="000000"/>
            </w:tcBorders>
            <w:vAlign w:val="center"/>
          </w:tcPr>
          <w:p>
            <w:pPr>
              <w:pStyle w:val="Normal"/>
              <w:jc w:val="center"/>
              <w:rPr>
                <w:sz w:val="24"/>
              </w:rPr>
            </w:pPr>
            <w:r>
              <w:rPr>
                <w:sz w:val="24"/>
              </w:rPr>
              <w:t>21,040</w:t>
            </w:r>
          </w:p>
        </w:tc>
        <w:tc>
          <w:tcPr>
            <w:tcW w:w="1740" w:type="dxa"/>
            <w:tcBorders>
              <w:top w:val="single" w:sz="4" w:space="0" w:color="000000"/>
              <w:start w:val="single" w:sz="4" w:space="0" w:color="000000"/>
              <w:end w:val="single" w:sz="4" w:space="0" w:color="000000"/>
            </w:tcBorders>
            <w:vAlign w:val="center"/>
          </w:tcPr>
          <w:p>
            <w:pPr>
              <w:pStyle w:val="Normal"/>
              <w:jc w:val="center"/>
              <w:rPr>
                <w:sz w:val="24"/>
              </w:rPr>
            </w:pPr>
            <w:r>
              <w:rPr>
                <w:sz w:val="24"/>
              </w:rPr>
              <w:t>116</w:t>
            </w:r>
          </w:p>
        </w:tc>
        <w:tc>
          <w:tcPr>
            <w:tcW w:w="1740" w:type="dxa"/>
            <w:tcBorders>
              <w:top w:val="single" w:sz="4" w:space="0" w:color="000000"/>
              <w:start w:val="single" w:sz="4" w:space="0" w:color="000000"/>
              <w:end w:val="single" w:sz="4" w:space="0" w:color="000000"/>
            </w:tcBorders>
            <w:vAlign w:val="center"/>
          </w:tcPr>
          <w:p>
            <w:pPr>
              <w:pStyle w:val="Normal"/>
              <w:jc w:val="center"/>
              <w:rPr>
                <w:sz w:val="24"/>
              </w:rPr>
            </w:pPr>
            <w:r>
              <w:rPr>
                <w:sz w:val="24"/>
              </w:rPr>
              <w:t>9,355</w:t>
            </w:r>
          </w:p>
        </w:tc>
        <w:tc>
          <w:tcPr>
            <w:tcW w:w="1740" w:type="dxa"/>
            <w:tcBorders>
              <w:top w:val="single" w:sz="4" w:space="0" w:color="000000"/>
              <w:start w:val="single" w:sz="4" w:space="0" w:color="000000"/>
              <w:end w:val="single" w:sz="4" w:space="0" w:color="000000"/>
            </w:tcBorders>
            <w:vAlign w:val="center"/>
          </w:tcPr>
          <w:p>
            <w:pPr>
              <w:pStyle w:val="Normal"/>
              <w:jc w:val="center"/>
              <w:rPr>
                <w:sz w:val="24"/>
              </w:rPr>
            </w:pPr>
            <w:r>
              <w:rPr>
                <w:sz w:val="24"/>
              </w:rPr>
              <w:t>11,685</w:t>
            </w:r>
          </w:p>
        </w:tc>
      </w:tr>
      <w:tr>
        <w:trPr/>
        <w:tc>
          <w:tcPr>
            <w:tcW w:w="1540" w:type="dxa"/>
            <w:tcBorders>
              <w:top w:val="single" w:sz="4" w:space="0" w:color="000000"/>
              <w:start w:val="single" w:sz="4" w:space="0" w:color="000000"/>
              <w:bottom w:val="single" w:sz="4" w:space="0" w:color="000000"/>
              <w:end w:val="single" w:sz="4" w:space="0" w:color="000000"/>
            </w:tcBorders>
            <w:shd w:fill="DFDFDF" w:val="clear"/>
            <w:vAlign w:val="center"/>
          </w:tcPr>
          <w:p>
            <w:pPr>
              <w:pStyle w:val="Heading2"/>
              <w:ind w:hanging="0" w:start="0"/>
              <w:rPr>
                <w:b/>
              </w:rPr>
            </w:pPr>
            <w:r>
              <w:rPr>
                <w:b/>
              </w:rPr>
              <w:t>SK Gas</w:t>
            </w:r>
          </w:p>
        </w:tc>
        <w:tc>
          <w:tcPr>
            <w:tcW w:w="1561" w:type="dxa"/>
            <w:tcBorders>
              <w:top w:val="single" w:sz="4" w:space="0" w:color="000000"/>
              <w:start w:val="single" w:sz="4" w:space="0" w:color="000000"/>
              <w:bottom w:val="single" w:sz="4" w:space="0" w:color="000000"/>
              <w:end w:val="single" w:sz="4" w:space="0" w:color="000000"/>
            </w:tcBorders>
            <w:shd w:fill="DFDFDF" w:val="clear"/>
            <w:vAlign w:val="center"/>
          </w:tcPr>
          <w:p>
            <w:pPr>
              <w:pStyle w:val="Normal"/>
              <w:jc w:val="center"/>
              <w:rPr>
                <w:sz w:val="24"/>
              </w:rPr>
            </w:pPr>
            <w:r>
              <w:rPr>
                <w:rFonts w:eastAsia="Times New Roman"/>
                <w:sz w:val="24"/>
              </w:rPr>
              <w:t xml:space="preserve"> </w:t>
            </w:r>
            <w:r>
              <w:rPr>
                <w:sz w:val="24"/>
              </w:rPr>
              <w:t>2,520</w:t>
            </w:r>
          </w:p>
          <w:p>
            <w:pPr>
              <w:pStyle w:val="Normal"/>
              <w:jc w:val="center"/>
              <w:rPr>
                <w:sz w:val="24"/>
              </w:rPr>
            </w:pPr>
            <w:r>
              <w:rPr>
                <w:sz w:val="24"/>
              </w:rPr>
              <w:t>(2.96%)</w:t>
            </w:r>
          </w:p>
        </w:tc>
        <w:tc>
          <w:tcPr>
            <w:tcW w:w="1740" w:type="dxa"/>
            <w:tcBorders>
              <w:top w:val="single" w:sz="4" w:space="0" w:color="000000"/>
              <w:start w:val="single" w:sz="4" w:space="0" w:color="000000"/>
              <w:bottom w:val="single" w:sz="4" w:space="0" w:color="000000"/>
              <w:end w:val="single" w:sz="4" w:space="0" w:color="000000"/>
            </w:tcBorders>
            <w:shd w:fill="DFDFDF" w:val="clear"/>
            <w:vAlign w:val="center"/>
          </w:tcPr>
          <w:p>
            <w:pPr>
              <w:pStyle w:val="Normal"/>
              <w:jc w:val="center"/>
              <w:rPr>
                <w:sz w:val="24"/>
              </w:rPr>
            </w:pPr>
            <w:r>
              <w:rPr>
                <w:sz w:val="24"/>
              </w:rPr>
              <w:t>14</w:t>
            </w:r>
          </w:p>
          <w:p>
            <w:pPr>
              <w:pStyle w:val="Normal"/>
              <w:jc w:val="center"/>
              <w:rPr>
                <w:sz w:val="24"/>
              </w:rPr>
            </w:pPr>
            <w:r>
              <w:rPr>
                <w:sz w:val="24"/>
              </w:rPr>
              <w:t>(2.99%)</w:t>
            </w:r>
          </w:p>
        </w:tc>
        <w:tc>
          <w:tcPr>
            <w:tcW w:w="1740" w:type="dxa"/>
            <w:tcBorders>
              <w:top w:val="single" w:sz="4" w:space="0" w:color="000000"/>
              <w:start w:val="single" w:sz="4" w:space="0" w:color="000000"/>
              <w:bottom w:val="single" w:sz="4" w:space="0" w:color="000000"/>
              <w:end w:val="single" w:sz="4" w:space="0" w:color="000000"/>
            </w:tcBorders>
            <w:shd w:fill="DFDFDF" w:val="clear"/>
            <w:vAlign w:val="center"/>
          </w:tcPr>
          <w:p>
            <w:pPr>
              <w:pStyle w:val="Normal"/>
              <w:jc w:val="center"/>
              <w:rPr>
                <w:sz w:val="24"/>
              </w:rPr>
            </w:pPr>
            <w:r>
              <w:rPr>
                <w:sz w:val="24"/>
              </w:rPr>
              <w:t>1,129</w:t>
            </w:r>
          </w:p>
          <w:p>
            <w:pPr>
              <w:pStyle w:val="Normal"/>
              <w:jc w:val="center"/>
              <w:rPr>
                <w:sz w:val="24"/>
              </w:rPr>
            </w:pPr>
            <w:r>
              <w:rPr>
                <w:sz w:val="24"/>
              </w:rPr>
              <w:t>(2.99%)</w:t>
            </w:r>
          </w:p>
        </w:tc>
        <w:tc>
          <w:tcPr>
            <w:tcW w:w="1740" w:type="dxa"/>
            <w:tcBorders>
              <w:top w:val="single" w:sz="4" w:space="0" w:color="000000"/>
              <w:start w:val="single" w:sz="4" w:space="0" w:color="000000"/>
              <w:bottom w:val="single" w:sz="4" w:space="0" w:color="000000"/>
              <w:end w:val="single" w:sz="4" w:space="0" w:color="000000"/>
            </w:tcBorders>
            <w:shd w:fill="DFDFDF" w:val="clear"/>
            <w:vAlign w:val="center"/>
          </w:tcPr>
          <w:p>
            <w:pPr>
              <w:pStyle w:val="Normal"/>
              <w:jc w:val="center"/>
              <w:rPr>
                <w:sz w:val="24"/>
              </w:rPr>
            </w:pPr>
            <w:r>
              <w:rPr>
                <w:rFonts w:eastAsia="Times New Roman"/>
                <w:sz w:val="24"/>
              </w:rPr>
              <w:t xml:space="preserve"> </w:t>
            </w:r>
            <w:r>
              <w:rPr>
                <w:sz w:val="24"/>
              </w:rPr>
              <w:t>1,391</w:t>
            </w:r>
          </w:p>
          <w:p>
            <w:pPr>
              <w:pStyle w:val="Normal"/>
              <w:jc w:val="center"/>
              <w:rPr>
                <w:sz w:val="24"/>
              </w:rPr>
            </w:pPr>
            <w:r>
              <w:rPr>
                <w:sz w:val="24"/>
              </w:rPr>
              <w:t>(2.93%)</w:t>
            </w:r>
          </w:p>
        </w:tc>
      </w:tr>
      <w:tr>
        <w:trPr/>
        <w:tc>
          <w:tcPr>
            <w:tcW w:w="1540"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jc w:val="center"/>
              <w:rPr>
                <w:b/>
                <w:sz w:val="24"/>
              </w:rPr>
            </w:pPr>
            <w:r>
              <w:rPr>
                <w:b/>
                <w:sz w:val="24"/>
              </w:rPr>
              <w:t>SK Affiliates</w:t>
            </w:r>
          </w:p>
          <w:p>
            <w:pPr>
              <w:pStyle w:val="Normal"/>
              <w:jc w:val="center"/>
              <w:rPr>
                <w:b/>
                <w:sz w:val="24"/>
              </w:rPr>
            </w:pPr>
            <w:r>
              <w:rPr>
                <w:b/>
                <w:sz w:val="24"/>
              </w:rPr>
              <w:t>Total</w:t>
            </w:r>
          </w:p>
        </w:tc>
        <w:tc>
          <w:tcPr>
            <w:tcW w:w="15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85,200</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468</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37,740</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47,460</w:t>
            </w:r>
          </w:p>
        </w:tc>
      </w:tr>
    </w:tbl>
    <w:p>
      <w:pPr>
        <w:pStyle w:val="Normal"/>
        <w:rPr>
          <w:sz w:val="24"/>
        </w:rPr>
      </w:pPr>
      <w:r>
        <w:rPr>
          <w:sz w:val="24"/>
        </w:rPr>
      </w:r>
    </w:p>
    <w:p>
      <w:pPr>
        <w:pStyle w:val="Normal"/>
        <w:rPr>
          <w:sz w:val="24"/>
        </w:rPr>
      </w:pPr>
      <w:r>
        <w:rPr>
          <w:sz w:val="24"/>
        </w:rPr>
      </w:r>
    </w:p>
    <w:sectPr>
      <w:footerReference w:type="default" r:id="rId2"/>
      <w:type w:val="nextPage"/>
      <w:pgSz w:w="11906" w:h="16838"/>
      <w:pgMar w:left="1531" w:right="1531" w:gutter="0" w:header="0" w:top="2157" w:footer="992" w:bottom="1618"/>
      <w:pgNumType w:start="1"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 xml:space="preserve">4 -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645"/>
        </w:tabs>
        <w:ind w:start="645" w:hanging="360"/>
      </w:pPr>
      <w:rPr/>
    </w:lvl>
  </w:abstractNum>
  <w:abstractNum w:abstractNumId="3">
    <w:lvl w:ilvl="0">
      <w:start w:val="1"/>
      <w:numFmt w:val="decimal"/>
      <w:lvlText w:val="%1."/>
      <w:lvlJc w:val="start"/>
      <w:pPr>
        <w:tabs>
          <w:tab w:val="num" w:pos="285"/>
        </w:tabs>
        <w:ind w:start="285" w:hanging="285"/>
      </w:pPr>
      <w:rPr/>
    </w:lvl>
  </w:abstractNum>
  <w:abstractNum w:abstractNumId="4">
    <w:lvl w:ilvl="0">
      <w:start w:val="1"/>
      <w:numFmt w:val="lowerLetter"/>
      <w:lvlText w:val="%1."/>
      <w:lvlJc w:val="start"/>
      <w:pPr>
        <w:tabs>
          <w:tab w:val="num" w:pos="615"/>
        </w:tabs>
        <w:ind w:start="615" w:hanging="360"/>
      </w:pPr>
      <w:rPr/>
    </w:lvl>
  </w:abstractNum>
  <w:abstractNum w:abstractNumId="5">
    <w:lvl w:ilvl="0">
      <w:start w:val="1"/>
      <w:numFmt w:val="bullet"/>
      <w:lvlText w:val="-"/>
      <w:lvlJc w:val="start"/>
      <w:pPr>
        <w:tabs>
          <w:tab w:val="num" w:pos="840"/>
        </w:tabs>
        <w:ind w:start="840" w:hanging="360"/>
      </w:pPr>
      <w:rPr>
        <w:rFonts w:ascii="Times New Roman" w:hAnsi="Times New Roman" w:cs="Times New Roman"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851"/>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바탕체" w:cs="Times New Roman"/>
      <w:color w:val="auto"/>
      <w:kern w:val="2"/>
      <w:sz w:val="20"/>
      <w:szCs w:val="20"/>
      <w:lang w:val="en-US" w:eastAsia="ko-KR" w:bidi="ar-SA"/>
    </w:rPr>
  </w:style>
  <w:style w:type="paragraph" w:styleId="Heading1">
    <w:name w:val="heading 1"/>
    <w:basedOn w:val="Normal"/>
    <w:next w:val="Normal"/>
    <w:qFormat/>
    <w:pPr>
      <w:keepNext w:val="true"/>
      <w:numPr>
        <w:ilvl w:val="0"/>
        <w:numId w:val="1"/>
      </w:numPr>
      <w:jc w:val="end"/>
      <w:outlineLvl w:val="0"/>
    </w:pPr>
    <w:rPr>
      <w:sz w:val="28"/>
    </w:rPr>
  </w:style>
  <w:style w:type="paragraph" w:styleId="Heading2">
    <w:name w:val="heading 2"/>
    <w:basedOn w:val="Normal"/>
    <w:next w:val="Style13"/>
    <w:qFormat/>
    <w:pPr>
      <w:keepNext w:val="true"/>
      <w:numPr>
        <w:ilvl w:val="1"/>
        <w:numId w:val="1"/>
      </w:numPr>
      <w:jc w:val="center"/>
      <w:outlineLvl w:val="1"/>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Times New Roman" w:hAnsi="Times New Roman" w:eastAsia="돋움;Dotum" w:cs="Times New Roman"/>
    </w:rPr>
  </w:style>
  <w:style w:type="character" w:styleId="WW8Num8z0">
    <w:name w:val="WW8Num8z0"/>
    <w:qFormat/>
    <w:rPr/>
  </w:style>
  <w:style w:type="character" w:styleId="WW8Num9z0">
    <w:name w:val="WW8Num9z0"/>
    <w:qFormat/>
    <w:rPr/>
  </w:style>
  <w:style w:type="character" w:styleId="Style12">
    <w:name w:val="기본 단락 글꼴"/>
    <w:qFormat/>
    <w:rPr/>
  </w:style>
  <w:style w:type="character" w:styleId="PageNumber">
    <w:name w:val="page number"/>
    <w:basedOn w:val="Style12"/>
    <w:rPr/>
  </w:style>
  <w:style w:type="paragraph" w:styleId="Heading">
    <w:name w:val="Heading"/>
    <w:basedOn w:val="Normal"/>
    <w:next w:val="BodyText"/>
    <w:qFormat/>
    <w:pPr>
      <w:jc w:val="center"/>
    </w:pPr>
    <w:rPr>
      <w:b/>
      <w:sz w:val="28"/>
      <w:u w:val="single"/>
    </w:rPr>
  </w:style>
  <w:style w:type="paragraph" w:styleId="BodyText">
    <w:name w:val="Body Text"/>
    <w:basedOn w:val="Normal"/>
    <w:pPr>
      <w:jc w:val="start"/>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4" w:start="364" w:end="0"/>
    </w:pPr>
    <w:rPr>
      <w:sz w:val="28"/>
    </w:rPr>
  </w:style>
  <w:style w:type="paragraph" w:styleId="2">
    <w:name w:val="본문 들여쓰기 2"/>
    <w:basedOn w:val="Normal"/>
    <w:qFormat/>
    <w:pPr>
      <w:ind w:hanging="0" w:start="612" w:end="0"/>
    </w:pPr>
    <w:rPr>
      <w:sz w:val="24"/>
    </w:rPr>
  </w:style>
  <w:style w:type="paragraph" w:styleId="Style13">
    <w:name w:val="표준 들여쓰기"/>
    <w:basedOn w:val="Normal"/>
    <w:qFormat/>
    <w:pPr>
      <w:ind w:hanging="0" w:start="851" w:end="0"/>
    </w:pPr>
    <w:rPr/>
  </w:style>
  <w:style w:type="paragraph" w:styleId="HeaderandFooter">
    <w:name w:val="Header and Footer"/>
    <w:basedOn w:val="Normal"/>
    <w:qFormat/>
    <w:pPr>
      <w:suppressLineNumbers/>
      <w:tabs>
        <w:tab w:val="clear" w:pos="851"/>
        <w:tab w:val="center" w:pos="4986" w:leader="none"/>
        <w:tab w:val="right" w:pos="9972" w:leader="none"/>
      </w:tabs>
    </w:pPr>
    <w:rPr/>
  </w:style>
  <w:style w:type="paragraph" w:styleId="Footer">
    <w:name w:val="footer"/>
    <w:basedOn w:val="Normal"/>
    <w:pPr>
      <w:tabs>
        <w:tab w:val="clear" w:pos="851"/>
        <w:tab w:val="center" w:pos="4252" w:leader="none"/>
        <w:tab w:val="right" w:pos="8504" w:leader="none"/>
      </w:tabs>
      <w:snapToGrid w:val="false"/>
    </w:pPr>
    <w:rPr/>
  </w:style>
  <w:style w:type="paragraph" w:styleId="Header">
    <w:name w:val="header"/>
    <w:basedOn w:val="Normal"/>
    <w:pPr>
      <w:tabs>
        <w:tab w:val="clear" w:pos="851"/>
        <w:tab w:val="center" w:pos="4252" w:leader="none"/>
        <w:tab w:val="right" w:pos="8504" w:leader="none"/>
      </w:tabs>
      <w:snapToGrid w:val="false"/>
    </w:pPr>
    <w:rPr/>
  </w:style>
  <w:style w:type="paragraph" w:styleId="3">
    <w:name w:val="본문 들여쓰기 3"/>
    <w:basedOn w:val="Normal"/>
    <w:qFormat/>
    <w:pPr>
      <w:ind w:hanging="0" w:start="615" w:end="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2001-05-11T11:17:00Z</dcterms:created>
  <dc:creator>SK-Enron</dc:creator>
  <dc:description/>
  <dc:language>en-CA</dc:language>
  <cp:lastModifiedBy>yhmoon</cp:lastModifiedBy>
  <cp:lastPrinted>2001-05-11T22:50:00Z</cp:lastPrinted>
  <dcterms:modified xsi:type="dcterms:W3CDTF">2001-05-18T05:15:00Z</dcterms:modified>
  <cp:revision>10</cp:revision>
  <dc:subject/>
  <dc:title>Disposal of Ildong CC Memebrship</dc:title>
</cp:coreProperties>
</file>