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lang w:val="en-US"/>
        </w:rPr>
      </w:pPr>
      <w:r>
        <w:rPr>
          <w:b/>
          <w:lang w:val="en-US"/>
        </w:rPr>
        <w:t>RESOLUTION N. 2689</w:t>
      </w:r>
    </w:p>
    <w:p>
      <w:pPr>
        <w:pStyle w:val="Normal"/>
        <w:jc w:val="both"/>
        <w:rPr>
          <w:b/>
          <w:sz w:val="24"/>
          <w:lang w:val="en-US"/>
        </w:rPr>
      </w:pPr>
      <w:r>
        <w:rPr>
          <w:b/>
          <w:sz w:val="24"/>
          <w:lang w:val="en-US"/>
        </w:rPr>
      </w:r>
    </w:p>
    <w:p>
      <w:pPr>
        <w:pStyle w:val="BodyTextIndent"/>
        <w:jc w:val="both"/>
        <w:rPr>
          <w:lang w:val="en-US"/>
        </w:rPr>
      </w:pPr>
      <w:r>
        <w:rPr>
          <w:lang w:val="en-US"/>
        </w:rPr>
        <w:t>Provides for investments by nonresidents in the financial and capital markets.</w:t>
      </w:r>
    </w:p>
    <w:p>
      <w:pPr>
        <w:pStyle w:val="Normal"/>
        <w:ind w:start="3969" w:end="0"/>
        <w:jc w:val="both"/>
        <w:rPr>
          <w:sz w:val="24"/>
          <w:lang w:val="en-US"/>
        </w:rPr>
      </w:pPr>
      <w:r>
        <w:rPr>
          <w:sz w:val="24"/>
          <w:lang w:val="en-US"/>
        </w:rPr>
      </w:r>
    </w:p>
    <w:p>
      <w:pPr>
        <w:pStyle w:val="Normal"/>
        <w:ind w:hanging="3969" w:start="3969" w:end="0"/>
        <w:jc w:val="both"/>
        <w:rPr>
          <w:sz w:val="24"/>
          <w:lang w:val="en-US"/>
        </w:rPr>
      </w:pPr>
      <w:r>
        <w:rPr>
          <w:sz w:val="24"/>
          <w:lang w:val="en-US"/>
        </w:rPr>
      </w:r>
    </w:p>
    <w:p>
      <w:pPr>
        <w:pStyle w:val="BodyText"/>
        <w:jc w:val="both"/>
        <w:rPr>
          <w:lang w:val="en-US"/>
        </w:rPr>
      </w:pPr>
      <w:r>
        <w:rPr>
          <w:lang w:val="en-US"/>
        </w:rPr>
        <w:t>THE CENTRAL BANK OF BRAZIL, as established in art. 9 of Law 4595, dated December 31, 1964, announces that the NATIONAL MONETARY COUNCIL, at a meeting held on January 26, 2000, in light of the provisions in Law Nos. 4595, dated December 31, 1964; 4728, dated July 14, 1965; and 6385, dated December 7, 1976, in Decree-Law Nos. 1986, dated December 28, 1982; and 2285, dated July 23, 1986; and in Provisional Measure No. 1990-27, dated January 13, 2000.</w:t>
      </w:r>
    </w:p>
    <w:p>
      <w:pPr>
        <w:pStyle w:val="Normal"/>
        <w:jc w:val="both"/>
        <w:rPr>
          <w:sz w:val="24"/>
          <w:lang w:val="en-US"/>
        </w:rPr>
      </w:pPr>
      <w:r>
        <w:rPr>
          <w:sz w:val="24"/>
          <w:lang w:val="en-US"/>
        </w:rPr>
      </w:r>
    </w:p>
    <w:p>
      <w:pPr>
        <w:pStyle w:val="Normal"/>
        <w:jc w:val="both"/>
        <w:rPr>
          <w:sz w:val="24"/>
          <w:lang w:val="en-US"/>
        </w:rPr>
      </w:pPr>
      <w:r>
        <w:rPr>
          <w:sz w:val="24"/>
          <w:lang w:val="en-US"/>
        </w:rPr>
        <w:t>HAS RESOLVED:</w:t>
      </w:r>
    </w:p>
    <w:p>
      <w:pPr>
        <w:pStyle w:val="Normal"/>
        <w:jc w:val="both"/>
        <w:rPr>
          <w:sz w:val="24"/>
          <w:lang w:val="en-US"/>
        </w:rPr>
      </w:pPr>
      <w:r>
        <w:rPr>
          <w:sz w:val="24"/>
          <w:lang w:val="en-US"/>
        </w:rPr>
      </w:r>
    </w:p>
    <w:p>
      <w:pPr>
        <w:pStyle w:val="Corpodetexto2"/>
        <w:ind w:firstLine="708" w:end="0"/>
        <w:rPr/>
      </w:pPr>
      <w:r>
        <w:rPr/>
        <w:t>Art. 1.</w:t>
        <w:tab/>
        <w:t>To establish that investments of foreign funds entering into Brazil by nonresident investors by means of the commercial rate market, in the financial and capital markets shall be governed as set forth in this Resolution.</w:t>
      </w:r>
    </w:p>
    <w:p>
      <w:pPr>
        <w:pStyle w:val="Normal"/>
        <w:jc w:val="both"/>
        <w:rPr>
          <w:sz w:val="24"/>
          <w:lang w:val="en-US"/>
        </w:rPr>
      </w:pPr>
      <w:r>
        <w:rPr>
          <w:sz w:val="24"/>
          <w:lang w:val="en-US"/>
        </w:rPr>
      </w:r>
    </w:p>
    <w:p>
      <w:pPr>
        <w:pStyle w:val="Normal"/>
        <w:jc w:val="both"/>
        <w:rPr>
          <w:sz w:val="24"/>
          <w:lang w:val="en-US"/>
        </w:rPr>
      </w:pPr>
      <w:r>
        <w:rPr>
          <w:sz w:val="24"/>
          <w:lang w:val="en-US"/>
        </w:rPr>
        <w:tab/>
        <w:t>§ 1</w:t>
        <w:tab/>
        <w:t>For the purposes of the provisions in this Resolution, individuals or legal entities, funds or other collective investment entities residing, headquartered or domiciled abroad shall be considered to be nonresident individual or group investors.</w:t>
      </w:r>
    </w:p>
    <w:p>
      <w:pPr>
        <w:pStyle w:val="Normal"/>
        <w:jc w:val="both"/>
        <w:rPr>
          <w:sz w:val="24"/>
          <w:lang w:val="en-US"/>
        </w:rPr>
      </w:pPr>
      <w:r>
        <w:rPr>
          <w:sz w:val="24"/>
          <w:lang w:val="en-US"/>
        </w:rPr>
      </w:r>
    </w:p>
    <w:p>
      <w:pPr>
        <w:pStyle w:val="Normal"/>
        <w:jc w:val="both"/>
        <w:rPr>
          <w:sz w:val="24"/>
          <w:lang w:val="en-US"/>
        </w:rPr>
      </w:pPr>
      <w:r>
        <w:rPr>
          <w:sz w:val="24"/>
          <w:lang w:val="en-US"/>
        </w:rPr>
        <w:tab/>
        <w:t>§ 2</w:t>
        <w:tab/>
        <w:t>The funds referred to in this article shall be invested in instruments and vehicles of the financial and capital markets available to resident investors.</w:t>
      </w:r>
    </w:p>
    <w:p>
      <w:pPr>
        <w:pStyle w:val="Normal"/>
        <w:jc w:val="both"/>
        <w:rPr>
          <w:sz w:val="24"/>
          <w:lang w:val="en-US"/>
        </w:rPr>
      </w:pPr>
      <w:r>
        <w:rPr>
          <w:sz w:val="24"/>
          <w:lang w:val="en-US"/>
        </w:rPr>
      </w:r>
    </w:p>
    <w:p>
      <w:pPr>
        <w:pStyle w:val="Normal"/>
        <w:jc w:val="both"/>
        <w:rPr>
          <w:sz w:val="24"/>
          <w:lang w:val="en-US"/>
        </w:rPr>
      </w:pPr>
      <w:r>
        <w:rPr>
          <w:sz w:val="24"/>
          <w:lang w:val="en-US"/>
        </w:rPr>
        <w:tab/>
        <w:t>Art. 2.</w:t>
        <w:tab/>
        <w:t>Any financial transactions conducted between Brazil and other countries as a result of the investments provided for hereunder shall be only be made by way of exchange contracts, as provided for in applicable regulations.</w:t>
      </w:r>
    </w:p>
    <w:p>
      <w:pPr>
        <w:pStyle w:val="Normal"/>
        <w:jc w:val="both"/>
        <w:rPr>
          <w:sz w:val="24"/>
          <w:lang w:val="en-US"/>
        </w:rPr>
      </w:pPr>
      <w:r>
        <w:rPr>
          <w:sz w:val="24"/>
          <w:lang w:val="en-US"/>
        </w:rPr>
      </w:r>
    </w:p>
    <w:p>
      <w:pPr>
        <w:pStyle w:val="Normal"/>
        <w:jc w:val="both"/>
        <w:rPr>
          <w:sz w:val="24"/>
          <w:lang w:val="en-US"/>
        </w:rPr>
      </w:pPr>
      <w:r>
        <w:rPr>
          <w:sz w:val="24"/>
          <w:lang w:val="en-US"/>
        </w:rPr>
        <w:tab/>
        <w:t>Art. 3.</w:t>
        <w:tab/>
        <w:t>Prior to the start of operations, a nonresident investor must:</w:t>
      </w:r>
    </w:p>
    <w:p>
      <w:pPr>
        <w:pStyle w:val="Normal"/>
        <w:jc w:val="both"/>
        <w:rPr>
          <w:sz w:val="24"/>
          <w:lang w:val="en-US"/>
        </w:rPr>
      </w:pPr>
      <w:r>
        <w:rPr>
          <w:sz w:val="24"/>
          <w:lang w:val="en-US"/>
        </w:rPr>
      </w:r>
    </w:p>
    <w:p>
      <w:pPr>
        <w:pStyle w:val="Normal"/>
        <w:jc w:val="both"/>
        <w:rPr>
          <w:sz w:val="24"/>
          <w:lang w:val="en-US"/>
        </w:rPr>
      </w:pPr>
      <w:r>
        <w:rPr>
          <w:sz w:val="24"/>
          <w:lang w:val="en-US"/>
        </w:rPr>
        <w:tab/>
        <w:t>I.</w:t>
        <w:tab/>
        <w:t>appoint one or more representatives in Brazil;</w:t>
      </w:r>
    </w:p>
    <w:p>
      <w:pPr>
        <w:pStyle w:val="Normal"/>
        <w:jc w:val="both"/>
        <w:rPr>
          <w:sz w:val="24"/>
          <w:lang w:val="en-US"/>
        </w:rPr>
      </w:pPr>
      <w:r>
        <w:rPr>
          <w:sz w:val="24"/>
          <w:lang w:val="en-US"/>
        </w:rPr>
      </w:r>
    </w:p>
    <w:p>
      <w:pPr>
        <w:pStyle w:val="Normal"/>
        <w:jc w:val="both"/>
        <w:rPr>
          <w:sz w:val="24"/>
          <w:lang w:val="en-US"/>
        </w:rPr>
      </w:pPr>
      <w:r>
        <w:rPr>
          <w:sz w:val="24"/>
          <w:lang w:val="en-US"/>
        </w:rPr>
        <w:tab/>
        <w:t>II.</w:t>
        <w:tab/>
        <w:t>complete the form which model is shown in the Schedule to this Resolution;</w:t>
      </w:r>
    </w:p>
    <w:p>
      <w:pPr>
        <w:pStyle w:val="Normal"/>
        <w:jc w:val="both"/>
        <w:rPr>
          <w:sz w:val="24"/>
          <w:lang w:val="en-US"/>
        </w:rPr>
      </w:pPr>
      <w:r>
        <w:rPr>
          <w:sz w:val="24"/>
          <w:lang w:val="en-US"/>
        </w:rPr>
      </w:r>
    </w:p>
    <w:p>
      <w:pPr>
        <w:pStyle w:val="Normal"/>
        <w:ind w:hanging="711" w:start="1416" w:end="0"/>
        <w:jc w:val="both"/>
        <w:rPr/>
      </w:pPr>
      <w:r>
        <w:rPr>
          <w:sz w:val="24"/>
          <w:lang w:val="en-US"/>
        </w:rPr>
        <w:t>III.</w:t>
        <w:tab/>
        <w:t>register with the Securities and Exchange Commission (</w:t>
      </w:r>
      <w:r>
        <w:rPr>
          <w:i/>
          <w:sz w:val="24"/>
          <w:lang w:val="en-US"/>
        </w:rPr>
        <w:t>Comissão de Valores Mobiliários – CVM</w:t>
      </w:r>
      <w:r>
        <w:rPr>
          <w:sz w:val="24"/>
          <w:lang w:val="en-US"/>
        </w:rPr>
        <w:t>).</w:t>
      </w:r>
    </w:p>
    <w:p>
      <w:pPr>
        <w:pStyle w:val="Normal"/>
        <w:jc w:val="both"/>
        <w:rPr>
          <w:sz w:val="24"/>
          <w:lang w:val="en-US"/>
        </w:rPr>
      </w:pPr>
      <w:r>
        <w:rPr>
          <w:sz w:val="24"/>
          <w:lang w:val="en-US"/>
        </w:rPr>
      </w:r>
    </w:p>
    <w:p>
      <w:pPr>
        <w:pStyle w:val="Normal"/>
        <w:jc w:val="both"/>
        <w:rPr>
          <w:sz w:val="24"/>
          <w:lang w:val="en-US"/>
        </w:rPr>
      </w:pPr>
      <w:r>
        <w:rPr>
          <w:sz w:val="24"/>
          <w:lang w:val="en-US"/>
        </w:rPr>
        <w:tab/>
        <w:t>§ 1</w:t>
        <w:tab/>
        <w:t>The representatives dealt with in item I of this article shall not necessarily be the same as those required by tax law.</w:t>
      </w:r>
    </w:p>
    <w:p>
      <w:pPr>
        <w:pStyle w:val="Normal"/>
        <w:jc w:val="both"/>
        <w:rPr>
          <w:sz w:val="24"/>
          <w:lang w:val="en-US"/>
        </w:rPr>
      </w:pPr>
      <w:r>
        <w:rPr>
          <w:sz w:val="24"/>
          <w:lang w:val="en-US"/>
        </w:rPr>
      </w:r>
    </w:p>
    <w:p>
      <w:pPr>
        <w:pStyle w:val="Normal"/>
        <w:jc w:val="both"/>
        <w:rPr>
          <w:sz w:val="24"/>
          <w:lang w:val="en-US"/>
        </w:rPr>
      </w:pPr>
      <w:r>
        <w:rPr>
          <w:sz w:val="24"/>
          <w:lang w:val="en-US"/>
        </w:rPr>
        <w:tab/>
        <w:t>§ 2</w:t>
        <w:tab/>
        <w:t>Whenever the representatives mentioned in item I of this article are non-financial individuals or entities, the investor shall appoint an institution authorized to operate by the Central Bank of Brazil to be jointly responsible for compliance with the obligations contained in art. 5.</w:t>
      </w:r>
    </w:p>
    <w:p>
      <w:pPr>
        <w:pStyle w:val="Normal"/>
        <w:jc w:val="both"/>
        <w:rPr>
          <w:sz w:val="24"/>
          <w:lang w:val="en-US"/>
        </w:rPr>
      </w:pPr>
      <w:r>
        <w:rPr>
          <w:sz w:val="24"/>
          <w:lang w:val="en-US"/>
        </w:rPr>
      </w:r>
    </w:p>
    <w:p>
      <w:pPr>
        <w:pStyle w:val="Normal"/>
        <w:jc w:val="both"/>
        <w:rPr>
          <w:sz w:val="24"/>
          <w:lang w:val="en-US"/>
        </w:rPr>
      </w:pPr>
      <w:r>
        <w:rPr>
          <w:sz w:val="24"/>
          <w:lang w:val="en-US"/>
        </w:rPr>
        <w:tab/>
        <w:t>§ 3</w:t>
        <w:tab/>
        <w:t>The form referred to in item II of this article may be altered by a joint decision of the Central Bank of Brazil and the CVM.</w:t>
      </w:r>
    </w:p>
    <w:p>
      <w:pPr>
        <w:pStyle w:val="Normal"/>
        <w:jc w:val="both"/>
        <w:rPr>
          <w:sz w:val="24"/>
          <w:lang w:val="en-US"/>
        </w:rPr>
      </w:pPr>
      <w:r>
        <w:rPr>
          <w:sz w:val="24"/>
          <w:lang w:val="en-US"/>
        </w:rPr>
      </w:r>
    </w:p>
    <w:p>
      <w:pPr>
        <w:pStyle w:val="Normal"/>
        <w:jc w:val="both"/>
        <w:rPr>
          <w:sz w:val="24"/>
          <w:lang w:val="en-US"/>
        </w:rPr>
      </w:pPr>
      <w:r>
        <w:rPr>
          <w:sz w:val="24"/>
          <w:lang w:val="en-US"/>
        </w:rPr>
        <w:tab/>
        <w:t>Art. 4.</w:t>
        <w:tab/>
        <w:t>All funds entering into Brazil as established in this Resolution shall be subject to registration with the Central Bank of Brazil, as established in applicable regulations.</w:t>
      </w:r>
    </w:p>
    <w:p>
      <w:pPr>
        <w:pStyle w:val="Normal"/>
        <w:jc w:val="both"/>
        <w:rPr>
          <w:sz w:val="24"/>
          <w:lang w:val="en-US"/>
        </w:rPr>
      </w:pPr>
      <w:r>
        <w:rPr>
          <w:sz w:val="24"/>
          <w:lang w:val="en-US"/>
        </w:rPr>
      </w:r>
    </w:p>
    <w:p>
      <w:pPr>
        <w:pStyle w:val="Normal"/>
        <w:ind w:firstLine="708" w:end="0"/>
        <w:jc w:val="both"/>
        <w:rPr>
          <w:sz w:val="24"/>
          <w:lang w:val="en-US"/>
        </w:rPr>
      </w:pPr>
      <w:r>
        <w:rPr>
          <w:sz w:val="24"/>
          <w:lang w:val="en-US"/>
        </w:rPr>
        <w:t>Art. 5.</w:t>
        <w:tab/>
        <w:t>The representatives referred to in art. 3, I of this Resolution shall:</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w:t>
        <w:tab/>
        <w:t>maintain the form mentioned in art. 3, II of this Resolution as well as the representation agreements executed with the nonresident investors in his custody and submit them to the Central Bank of Brazil and to the CVM whenever requested;</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w:t>
        <w:tab/>
        <w:t>carry out and update all registrations provided for in art. 3, III and art. 4 of this Resolution;</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III.</w:t>
        <w:tab/>
        <w:t>provide the Central Bank of Brazil and the CVM with information as requested;</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IV.</w:t>
        <w:tab/>
        <w:t>endorse the signature of the nonresident investor on the form referred to in art. 3, II of this Resolution;</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V.</w:t>
        <w:tab/>
        <w:t>immediately report to the Central Bank of Brazil and the CVM the cancellation of the representation agreements referred to in item I of this article as well as any improprieties of their knowledge.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Sole paragraph.</w:t>
        <w:tab/>
        <w:t>In the event of noncompliance with the obligations provided for in this article, the representatives will be subject to a ban on the performance of their activities, in which case the nonresident investor shall appoint a substitute representative.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6.</w:t>
        <w:tab/>
        <w:t>All financial assets and securities traded as well as all other financial transactions carried out by nonresident investors as a result of the investments provided for in this Resolution shall, according to the type of transaction:</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w:t>
        <w:tab/>
        <w:t>be registered or maintained in custody or in a deposit account at an institution or entity that is authorized by the Central Bank of Brazil or by the CVM to provide such services; or</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w:t>
        <w:tab/>
        <w:t>be duly registered in the registration, settlement and custody systems recognized by the Central Bank of Brazil or authorized by the CVM, in their respective areas of competence.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Sole paragraph.</w:t>
        <w:tab/>
        <w:t>Any transactions by nonresident investors in derivatives or other futures markets shall only be carried out in the stock, commodities, futures or over-the-counter markets organized by an entity authorized by the CVM to operate or registered in the registration, settlement and custody systems referred to in item II of this article.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7.</w:t>
        <w:tab/>
        <w:t>All depositary institutions and entities that provide custody and registration services shall make all records of the investments provided for hereunder available to the Central Bank of Brazil and to CVM, separately for each nonresident investor.</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8.</w:t>
        <w:tab/>
        <w:t>It is not permitted to use any funds entering Brazil under this Resolution to execute transactions in the stock market regarding an acquisition or disposal:</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w:t>
        <w:tab/>
        <w:t>outside the stock exchange trading floors, electronic systems or over-the-counter trading organized by any entity authorized by the CVM, of publicly-held company securities registered for trading in such markets;</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w:t>
        <w:tab/>
        <w:t>of securities in non-organized over-the-counter markets or in over-the-counter markets organized by entities not authorized to operate by the CVM.</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Sole paragraph.</w:t>
        <w:tab/>
        <w:t>The provisions in this article do not include cases of stock subscription, stock bonuses, conversion of debentures into shares, indices referenced in securities, acquisition and disposal of quotas in open-end securities investment funds and, provided that they are previously authorized by the CVM,  the cases of companies that are going private or are going to cancel or suspend the trading with their shares.</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9.</w:t>
        <w:tab/>
        <w:t>No transfer or assignment of title to investments or to securities owned by nonresidents shall be permitted outside Brazil, or in Brazil, where not provided for hereunder.</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Sole paragraph.</w:t>
        <w:tab/>
        <w:t>The provisions in this article do not include events of transfer resulting from merger, incorporations, spin-offs and other corporate alterations effected abroad as well as hereditary succession, in observance of the regulations of the Central Bank of Brazil and the CVM.</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10.  In addition to the mechanism provided for hereunder, only  financial and capital market investments established in the Annex III to Resolution N. 1289, dated March 20, 1987, will be accepted, or other cases expressly approved by Central Bank of Brazil and by the CVM.</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1</w:t>
        <w:tab/>
        <w:t>The modality of foreign investment provided for in the Annex IV to Resolution N. 1289 of 1987 shall be adjusted in order to comply with the provisions hereunder by  June 30, 2000, under penalty of having their respective foreign capital registrations cancelled and suffering other applicable legal sanctions.</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2</w:t>
        <w:tab/>
        <w:t>Any transfer of positions held by nonresident investors in the modalities listed in the preceding paragraph shall be made strictly in conformity with the positions of the custodial account titled by  nonresident investors , with due regard for the conditions established by Central Bank of Brazil and the CVM.</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3</w:t>
        <w:tab/>
        <w:t>For the purposes of the provisions contained  in the preceding paragraph, the CVM shall inform Central Bank of Brazil with regard to all individual positions held by nonresident investors.</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4  Central Bank of Brazil, jointly with the CVM, shall issue supplementary regulations governing the transfer of investments registered in Conversion Funds – Foreign Capital, Privatization Funds – Foreign Capital, Mutual Investment Funds in Emerging Companies – Foreign Capital  and capital investments effected among Mercosul countries to the mechanism set forth in this Resolution.</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11.  As of the date this Resolution takes effect, it is not permitted to issue and place quotas of the Fixed-Income Funds – Foreign Capital that were set up as established pursuant to  Resolution N. 2034, dated December 17, 1993, shares of Investment Companies – Foreign Capital that were incorporated as per Annex I to Resolution N. 1289/87 and of quotas in Investment Funds – Foreign Capital that were set up as per Annex II to Resolution N. 1289/87, which Funds shall be brought into compliance with the provisions in this Resolution by March 31, 2001 by either:</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w:t>
        <w:tab/>
        <w:t>being transformed or incorporated into financial investment funds, in the case of Fixed-Income Funds – Foreign Capital;</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w:t>
        <w:tab/>
        <w:t xml:space="preserve">being transformed or incorporated into securities investment funds or corporations, in the case of Investment Companies – Foreign Capital; or </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III.</w:t>
        <w:tab/>
        <w:t>being transformed or incorporated into securities investment funds, in the case of Investment Funds – Foreign Capital.</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1</w:t>
        <w:tab/>
        <w:t>The transformations and incorporations provided for in the items of this article may occur, provided the securities and other financial assets as well as the investment modalities under the respective portfolios are appraised at market value.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2</w:t>
        <w:tab/>
        <w:t>The  funds and investment companies mentioned in the main section of this article may also be liquidated with the approval of their accounts by the general meeting of owners or shareholders.</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 3</w:t>
        <w:tab/>
        <w:t>The transformations and incorporations dealt with in the main section of this article effected by June 30, 2000 do not require a foreign exchange agreement.</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12.</w:t>
        <w:tab/>
        <w:t>Foreign investments registered with the Central Bank of Brazil under the Regulation in Annex V to Resolution N. 1289/87 may be transferred to and from the mechanism provided for hereunder, with due regard for the conditions established by the Central Bank of Brazil and the CVM.</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13.</w:t>
        <w:tab/>
        <w:t>The provisions in this Resolution do not include the investments dealt with in Resolution 2687 of January 26, 2000.</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14.  The Central Bank of Brazil and the CVM are hereby authorized, each within its own scope of authority, to take the steps and to issue the supplementary regulations that may be necessary to enforce the provisions hereof.</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15.  This Resolution shall take effect on March 31, 2000.</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Art. 16.  Resolution N. 1832, dated May 31, 1991, is hereby revoked as of June 30, 2000; and Resolution N. 2034/93 and Annex I and II to Resolution N. 1289/87 are hereby revoked as of March 31, 2001.</w:t>
      </w:r>
    </w:p>
    <w:p>
      <w:pPr>
        <w:pStyle w:val="Normal"/>
        <w:ind w:firstLine="567" w:end="0"/>
        <w:jc w:val="both"/>
        <w:rPr>
          <w:sz w:val="24"/>
          <w:lang w:val="en-US"/>
        </w:rPr>
      </w:pPr>
      <w:r>
        <w:rPr>
          <w:sz w:val="24"/>
          <w:lang w:val="en-US"/>
        </w:rPr>
      </w:r>
    </w:p>
    <w:p>
      <w:pPr>
        <w:pStyle w:val="Normal"/>
        <w:ind w:firstLine="567" w:end="0"/>
        <w:jc w:val="both"/>
        <w:rPr>
          <w:sz w:val="24"/>
          <w:lang w:val="en-US"/>
        </w:rPr>
      </w:pPr>
      <w:r>
        <w:rPr>
          <w:sz w:val="24"/>
          <w:lang w:val="en-US"/>
        </w:rPr>
        <w:t>Brasília, January 26, 2000.</w:t>
      </w:r>
    </w:p>
    <w:p>
      <w:pPr>
        <w:pStyle w:val="Normal"/>
        <w:ind w:firstLine="567" w:end="0"/>
        <w:jc w:val="both"/>
        <w:rPr>
          <w:sz w:val="24"/>
          <w:lang w:val="en-US"/>
        </w:rPr>
      </w:pPr>
      <w:r>
        <w:rPr>
          <w:sz w:val="24"/>
          <w:lang w:val="en-US"/>
        </w:rPr>
      </w:r>
    </w:p>
    <w:p>
      <w:pPr>
        <w:pStyle w:val="Normal"/>
        <w:ind w:firstLine="567" w:end="0"/>
        <w:jc w:val="both"/>
        <w:rPr>
          <w:sz w:val="24"/>
          <w:lang w:val="en-US"/>
        </w:rPr>
      </w:pPr>
      <w:r>
        <w:rPr>
          <w:sz w:val="24"/>
          <w:lang w:val="en-US"/>
        </w:rPr>
        <w:t>ARMINIO FRAGA NETO</w:t>
      </w:r>
    </w:p>
    <w:p>
      <w:pPr>
        <w:pStyle w:val="Normal"/>
        <w:ind w:firstLine="567" w:end="0"/>
        <w:jc w:val="both"/>
        <w:rPr>
          <w:sz w:val="24"/>
          <w:lang w:val="en-US"/>
        </w:rPr>
      </w:pPr>
      <w:r>
        <w:rPr>
          <w:sz w:val="24"/>
          <w:lang w:val="en-US"/>
        </w:rPr>
      </w:r>
    </w:p>
    <w:p>
      <w:pPr>
        <w:pStyle w:val="Normal"/>
        <w:ind w:firstLine="567" w:end="0"/>
        <w:jc w:val="both"/>
        <w:rPr>
          <w:sz w:val="24"/>
          <w:lang w:val="en-US"/>
        </w:rPr>
      </w:pPr>
      <w:r>
        <w:rPr>
          <w:sz w:val="24"/>
          <w:lang w:val="en-US"/>
        </w:rPr>
        <w:t>PRESIDENT</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r>
    </w:p>
    <w:p>
      <w:pPr>
        <w:pStyle w:val="Heading2"/>
        <w:ind w:hanging="0" w:start="0"/>
        <w:rPr>
          <w:sz w:val="24"/>
        </w:rPr>
      </w:pPr>
      <w:r>
        <w:rPr>
          <w:sz w:val="24"/>
        </w:rPr>
        <w:t>Annex to Resolution N. 2689, dated January 26, 2000</w:t>
      </w:r>
    </w:p>
    <w:p>
      <w:pPr>
        <w:pStyle w:val="Normal"/>
        <w:ind w:firstLine="708" w:end="0"/>
        <w:jc w:val="both"/>
        <w:rPr>
          <w:sz w:val="24"/>
          <w:lang w:val="en-US"/>
        </w:rPr>
      </w:pPr>
      <w:r>
        <w:rPr>
          <w:sz w:val="24"/>
          <w:lang w:val="en-US"/>
        </w:rPr>
      </w:r>
    </w:p>
    <w:p>
      <w:pPr>
        <w:pStyle w:val="Heading3"/>
        <w:ind w:hanging="0" w:start="0"/>
        <w:rPr>
          <w:b/>
        </w:rPr>
      </w:pPr>
      <w:r>
        <w:rPr>
          <w:b/>
        </w:rPr>
        <w:t>I   -   IDENTIFICATION OF THE NONRESIDENT INVESTOR</w:t>
      </w:r>
    </w:p>
    <w:p>
      <w:pPr>
        <w:pStyle w:val="Normal"/>
        <w:jc w:val="both"/>
        <w:rPr>
          <w:b/>
          <w:sz w:val="24"/>
          <w:lang w:val="en-US"/>
        </w:rPr>
      </w:pPr>
      <w:r>
        <w:rPr>
          <w:b/>
          <w:sz w:val="24"/>
          <w:lang w:val="en-US"/>
        </w:rPr>
      </w:r>
    </w:p>
    <w:p>
      <w:pPr>
        <w:pStyle w:val="Normal"/>
        <w:ind w:firstLine="708" w:end="0"/>
        <w:jc w:val="both"/>
        <w:rPr>
          <w:sz w:val="24"/>
          <w:lang w:val="en-US"/>
        </w:rPr>
      </w:pPr>
      <w:r>
        <w:rPr>
          <w:sz w:val="24"/>
          <w:lang w:val="en-US"/>
        </w:rPr>
        <w:t>1. Investor’s name or company name: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2. Address:</w:t>
      </w:r>
    </w:p>
    <w:p>
      <w:pPr>
        <w:pStyle w:val="Normal"/>
        <w:ind w:firstLine="708" w:end="0"/>
        <w:jc w:val="both"/>
        <w:rPr>
          <w:sz w:val="24"/>
          <w:lang w:val="en-US"/>
        </w:rPr>
      </w:pPr>
      <w:r>
        <w:rPr>
          <w:sz w:val="24"/>
          <w:lang w:val="en-US"/>
        </w:rPr>
      </w:r>
    </w:p>
    <w:tbl>
      <w:tblPr>
        <w:tblW w:w="8199" w:type="dxa"/>
        <w:jc w:val="start"/>
        <w:tblInd w:w="779" w:type="dxa"/>
        <w:tblLayout w:type="fixed"/>
        <w:tblCellMar>
          <w:top w:w="0" w:type="dxa"/>
          <w:start w:w="70" w:type="dxa"/>
          <w:bottom w:w="0" w:type="dxa"/>
          <w:end w:w="70" w:type="dxa"/>
        </w:tblCellMar>
      </w:tblPr>
      <w:tblGrid>
        <w:gridCol w:w="2213"/>
        <w:gridCol w:w="2993"/>
        <w:gridCol w:w="2993"/>
      </w:tblGrid>
      <w:tr>
        <w:trPr/>
        <w:tc>
          <w:tcPr>
            <w:tcW w:w="2213" w:type="dxa"/>
            <w:tcBorders/>
          </w:tcPr>
          <w:p>
            <w:pPr>
              <w:pStyle w:val="Normal"/>
              <w:jc w:val="both"/>
              <w:rPr>
                <w:sz w:val="24"/>
                <w:lang w:val="en-US"/>
              </w:rPr>
            </w:pPr>
            <w:r>
              <w:rPr>
                <w:sz w:val="24"/>
                <w:lang w:val="en-US"/>
              </w:rPr>
              <w:t xml:space="preserve">   </w:t>
            </w:r>
            <w:r>
              <w:rPr>
                <w:sz w:val="24"/>
                <w:lang w:val="en-US"/>
              </w:rPr>
              <w:t>City</w:t>
            </w:r>
          </w:p>
        </w:tc>
        <w:tc>
          <w:tcPr>
            <w:tcW w:w="2993" w:type="dxa"/>
            <w:tcBorders/>
          </w:tcPr>
          <w:p>
            <w:pPr>
              <w:pStyle w:val="Normal"/>
              <w:jc w:val="both"/>
              <w:rPr>
                <w:sz w:val="24"/>
                <w:lang w:val="en-US"/>
              </w:rPr>
            </w:pPr>
            <w:r>
              <w:rPr>
                <w:sz w:val="24"/>
                <w:lang w:val="en-US"/>
              </w:rPr>
              <w:t>State or Province:</w:t>
            </w:r>
          </w:p>
        </w:tc>
        <w:tc>
          <w:tcPr>
            <w:tcW w:w="2993" w:type="dxa"/>
            <w:tcBorders/>
          </w:tcPr>
          <w:p>
            <w:pPr>
              <w:pStyle w:val="Normal"/>
              <w:jc w:val="both"/>
              <w:rPr>
                <w:sz w:val="24"/>
                <w:lang w:val="en-US"/>
              </w:rPr>
            </w:pPr>
            <w:r>
              <w:rPr>
                <w:sz w:val="24"/>
                <w:lang w:val="en-US"/>
              </w:rPr>
              <w:t>Country in which head offices/domicile is located:</w:t>
            </w:r>
          </w:p>
        </w:tc>
      </w:tr>
      <w:tr>
        <w:trPr/>
        <w:tc>
          <w:tcPr>
            <w:tcW w:w="2213" w:type="dxa"/>
            <w:tcBorders/>
          </w:tcPr>
          <w:p>
            <w:pPr>
              <w:pStyle w:val="Normal"/>
              <w:jc w:val="both"/>
              <w:rPr>
                <w:sz w:val="24"/>
                <w:lang w:val="en-US"/>
              </w:rPr>
            </w:pPr>
            <w:r>
              <w:rPr>
                <w:sz w:val="24"/>
                <w:lang w:val="en-US"/>
              </w:rPr>
              <w:t xml:space="preserve">    </w:t>
            </w:r>
            <w:r>
              <w:rPr>
                <w:sz w:val="24"/>
                <w:lang w:val="en-US"/>
              </w:rPr>
              <w:t>Zip Code:</w:t>
            </w:r>
          </w:p>
        </w:tc>
        <w:tc>
          <w:tcPr>
            <w:tcW w:w="2993" w:type="dxa"/>
            <w:tcBorders/>
          </w:tcPr>
          <w:p>
            <w:pPr>
              <w:pStyle w:val="Normal"/>
              <w:jc w:val="both"/>
              <w:rPr>
                <w:sz w:val="24"/>
                <w:lang w:val="en-US"/>
              </w:rPr>
            </w:pPr>
            <w:r>
              <w:rPr>
                <w:sz w:val="24"/>
                <w:lang w:val="en-US"/>
              </w:rPr>
              <w:t>Nationality:</w:t>
            </w:r>
          </w:p>
        </w:tc>
        <w:tc>
          <w:tcPr>
            <w:tcW w:w="2993" w:type="dxa"/>
            <w:tcBorders/>
          </w:tcPr>
          <w:p>
            <w:pPr>
              <w:pStyle w:val="Normal"/>
              <w:snapToGrid w:val="false"/>
              <w:jc w:val="both"/>
              <w:rPr>
                <w:sz w:val="24"/>
                <w:lang w:val="en-US"/>
              </w:rPr>
            </w:pPr>
            <w:r>
              <w:rPr>
                <w:sz w:val="24"/>
                <w:lang w:val="en-US"/>
              </w:rPr>
            </w:r>
          </w:p>
        </w:tc>
      </w:tr>
    </w:tbl>
    <w:p>
      <w:pPr>
        <w:pStyle w:val="Normal"/>
        <w:ind w:firstLine="426" w:start="708" w:end="0"/>
        <w:jc w:val="both"/>
        <w:rPr>
          <w:sz w:val="24"/>
          <w:lang w:val="en-US"/>
        </w:rPr>
      </w:pPr>
      <w:r>
        <w:rPr>
          <w:sz w:val="24"/>
          <w:lang w:val="en-US"/>
        </w:rPr>
      </w:r>
    </w:p>
    <w:p>
      <w:pPr>
        <w:pStyle w:val="Normal"/>
        <w:ind w:firstLine="1" w:start="708" w:end="0"/>
        <w:jc w:val="both"/>
        <w:rPr>
          <w:sz w:val="24"/>
          <w:lang w:val="en-US"/>
        </w:rPr>
      </w:pPr>
      <w:r>
        <w:rPr>
          <w:sz w:val="24"/>
          <w:lang w:val="en-US"/>
        </w:rPr>
        <w:t>3. Internet address:</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4. Country in which the company was organized:</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5. Type of business:</w:t>
      </w:r>
    </w:p>
    <w:p>
      <w:pPr>
        <w:pStyle w:val="Normal"/>
        <w:ind w:firstLine="1" w:start="708" w:end="0"/>
        <w:jc w:val="both"/>
        <w:rPr>
          <w:sz w:val="24"/>
          <w:lang w:val="en-US"/>
        </w:rPr>
      </w:pPr>
      <w:r>
        <w:rPr>
          <w:sz w:val="24"/>
          <w:lang w:val="en-US"/>
        </w:rPr>
      </w:r>
    </w:p>
    <w:p>
      <w:pPr>
        <w:pStyle w:val="Recuodecorpodetexto2"/>
        <w:rPr/>
      </w:pPr>
      <w:r>
        <w:rPr/>
        <w:t>(  ) a – commercial banks, investment banks, savings and loan companies, global custodians and similar institutions, regulated and monitored by a competent government authority;</w:t>
      </w:r>
    </w:p>
    <w:p>
      <w:pPr>
        <w:pStyle w:val="Normal"/>
        <w:ind w:start="1418" w:end="0"/>
        <w:jc w:val="both"/>
        <w:rPr>
          <w:sz w:val="24"/>
          <w:lang w:val="en-US"/>
        </w:rPr>
      </w:pPr>
      <w:r>
        <w:rPr>
          <w:sz w:val="24"/>
          <w:lang w:val="en-US"/>
        </w:rPr>
      </w:r>
    </w:p>
    <w:p>
      <w:pPr>
        <w:pStyle w:val="Recuodecorpodetexto2"/>
        <w:rPr/>
      </w:pPr>
      <w:r>
        <w:rPr/>
        <w:t>(  ) b – insurance companies, regulated and monitored by a competent government authority;</w:t>
      </w:r>
    </w:p>
    <w:p>
      <w:pPr>
        <w:pStyle w:val="Normal"/>
        <w:ind w:start="1418" w:end="0"/>
        <w:jc w:val="both"/>
        <w:rPr>
          <w:sz w:val="24"/>
          <w:lang w:val="en-US"/>
        </w:rPr>
      </w:pPr>
      <w:r>
        <w:rPr>
          <w:sz w:val="24"/>
          <w:lang w:val="en-US"/>
        </w:rPr>
      </w:r>
    </w:p>
    <w:p>
      <w:pPr>
        <w:pStyle w:val="Normal"/>
        <w:ind w:start="1418" w:end="0"/>
        <w:jc w:val="both"/>
        <w:rPr>
          <w:sz w:val="24"/>
          <w:lang w:val="en-US"/>
        </w:rPr>
      </w:pPr>
      <w:r>
        <w:rPr>
          <w:sz w:val="24"/>
          <w:lang w:val="en-US"/>
        </w:rPr>
        <w:t>(  ) c – companies or entities which purpose it is to issue securities, or to intermediate in the trading of securities, on its own or on behalf of third parties, registered and regulated by a body that is accredited by the CVM;</w:t>
      </w:r>
    </w:p>
    <w:p>
      <w:pPr>
        <w:pStyle w:val="Normal"/>
        <w:ind w:start="1418" w:end="0"/>
        <w:jc w:val="both"/>
        <w:rPr>
          <w:sz w:val="24"/>
          <w:lang w:val="en-US"/>
        </w:rPr>
      </w:pPr>
      <w:r>
        <w:rPr>
          <w:sz w:val="24"/>
          <w:lang w:val="en-US"/>
        </w:rPr>
      </w:r>
    </w:p>
    <w:p>
      <w:pPr>
        <w:pStyle w:val="Recuodecorpodetexto2"/>
        <w:rPr/>
      </w:pPr>
      <w:r>
        <w:rPr/>
        <w:t>(  ) d – pension funds, regulated by a competent government authority;</w:t>
      </w:r>
    </w:p>
    <w:p>
      <w:pPr>
        <w:pStyle w:val="Recuodecorpodetexto2"/>
        <w:rPr/>
      </w:pPr>
      <w:r>
        <w:rPr/>
      </w:r>
    </w:p>
    <w:p>
      <w:pPr>
        <w:pStyle w:val="Recuodecorpodetexto2"/>
        <w:rPr/>
      </w:pPr>
      <w:r>
        <w:rPr/>
        <w:t>(  ) e – nonprofit organizations, provided they are regulated by a competent government authority;</w:t>
      </w:r>
    </w:p>
    <w:p>
      <w:pPr>
        <w:pStyle w:val="Recuodecorpodetexto2"/>
        <w:rPr/>
      </w:pPr>
      <w:r>
        <w:rPr/>
      </w:r>
    </w:p>
    <w:p>
      <w:pPr>
        <w:pStyle w:val="Recuodecorpodetexto2"/>
        <w:rPr/>
      </w:pPr>
      <w:r>
        <w:rPr/>
        <w:t>(  ) f – any entity engaged in the financial and capital market investments in which only individuals or legal entities domiciled abroad hold any interest, provided:</w:t>
      </w:r>
    </w:p>
    <w:p>
      <w:pPr>
        <w:pStyle w:val="Recuodecorpodetexto2"/>
        <w:rPr/>
      </w:pPr>
      <w:r>
        <w:rPr/>
      </w:r>
    </w:p>
    <w:p>
      <w:pPr>
        <w:pStyle w:val="Recuodecorpodetexto2"/>
        <w:rPr/>
      </w:pPr>
      <w:r>
        <w:rPr/>
        <w:t>(  ) i – the entity is registered and regulated by a body that is accredited by the CVM; or</w:t>
      </w:r>
    </w:p>
    <w:p>
      <w:pPr>
        <w:pStyle w:val="Recuodecorpodetexto2"/>
        <w:rPr/>
      </w:pPr>
      <w:r>
        <w:rPr/>
        <w:t>(  ) ii – the portfolio is discretionarily managed by a professional manager that is registered and regulated by an entity accredited by CVM; and</w:t>
      </w:r>
    </w:p>
    <w:p>
      <w:pPr>
        <w:pStyle w:val="Recuodecorpodetexto2"/>
        <w:rPr/>
      </w:pPr>
      <w:r>
        <w:rPr/>
      </w:r>
    </w:p>
    <w:p>
      <w:pPr>
        <w:pStyle w:val="Recuodecorpodetexto2"/>
        <w:rPr/>
      </w:pPr>
      <w:r>
        <w:rPr/>
      </w:r>
    </w:p>
    <w:p>
      <w:pPr>
        <w:pStyle w:val="Recuodecorpodetexto2"/>
        <w:rPr/>
      </w:pPr>
      <w:r>
        <w:rPr/>
        <w:t>(  ) g – all other funds or collective investment entities;</w:t>
      </w:r>
    </w:p>
    <w:p>
      <w:pPr>
        <w:pStyle w:val="Recuodecorpodetexto2"/>
        <w:rPr/>
      </w:pPr>
      <w:r>
        <w:rPr/>
      </w:r>
    </w:p>
    <w:p>
      <w:pPr>
        <w:pStyle w:val="Recuodecorpodetexto2"/>
        <w:rPr/>
      </w:pPr>
      <w:r>
        <w:rPr/>
        <w:t>(  ) h – legal entities organized abroad; or</w:t>
      </w:r>
    </w:p>
    <w:p>
      <w:pPr>
        <w:pStyle w:val="Recuodecorpodetexto2"/>
        <w:rPr/>
      </w:pPr>
      <w:r>
        <w:rPr/>
      </w:r>
    </w:p>
    <w:p>
      <w:pPr>
        <w:pStyle w:val="Recuodecorpodetexto2"/>
        <w:rPr/>
      </w:pPr>
      <w:r>
        <w:rPr/>
        <w:t>(  ) i – individuals who reside abroad.</w:t>
      </w:r>
    </w:p>
    <w:p>
      <w:pPr>
        <w:pStyle w:val="Recuodecorpodetexto2"/>
        <w:rPr/>
      </w:pPr>
      <w:r>
        <w:rPr/>
      </w:r>
    </w:p>
    <w:p>
      <w:pPr>
        <w:pStyle w:val="Recuodecorpodetexto2"/>
        <w:ind w:hanging="709" w:end="0"/>
        <w:rPr/>
      </w:pPr>
      <w:r>
        <w:rPr/>
        <w:t>6. Status:</w:t>
      </w:r>
    </w:p>
    <w:p>
      <w:pPr>
        <w:pStyle w:val="Recuodecorpodetexto2"/>
        <w:ind w:hanging="709" w:end="0"/>
        <w:rPr/>
      </w:pPr>
      <w:r>
        <w:rPr/>
      </w:r>
    </w:p>
    <w:p>
      <w:pPr>
        <w:pStyle w:val="Recuodecorpodetexto2"/>
        <w:ind w:hanging="709" w:end="0"/>
        <w:rPr/>
      </w:pPr>
      <w:r>
        <w:rPr/>
        <w:t>(  ) Titleholder of its own account; or</w:t>
      </w:r>
    </w:p>
    <w:p>
      <w:pPr>
        <w:pStyle w:val="Recuodecorpodetexto2"/>
        <w:ind w:hanging="709" w:end="0"/>
        <w:rPr/>
      </w:pPr>
      <w:r>
        <w:rPr/>
      </w:r>
    </w:p>
    <w:p>
      <w:pPr>
        <w:pStyle w:val="Recuodecorpodetexto2"/>
        <w:ind w:hanging="709" w:end="0"/>
        <w:rPr/>
      </w:pPr>
      <w:r>
        <w:rPr/>
        <w:t>(  ) Titleholder of an omnibus account;</w:t>
      </w:r>
    </w:p>
    <w:p>
      <w:pPr>
        <w:pStyle w:val="Recuodecorpodetexto2"/>
        <w:ind w:hanging="709" w:end="0"/>
        <w:rPr/>
      </w:pPr>
      <w:r>
        <w:rPr/>
      </w:r>
    </w:p>
    <w:p>
      <w:pPr>
        <w:pStyle w:val="Recuodecorpodetexto2"/>
        <w:ind w:hanging="709" w:end="0"/>
        <w:rPr/>
      </w:pPr>
      <w:r>
        <w:rPr/>
        <w:t>(  ) Omnibus account participant (specify): ______________________________</w:t>
      </w:r>
    </w:p>
    <w:p>
      <w:pPr>
        <w:pStyle w:val="Recuodecorpodetexto2"/>
        <w:ind w:hanging="709" w:end="0"/>
        <w:rPr/>
      </w:pPr>
      <w:r>
        <w:rPr/>
      </w:r>
    </w:p>
    <w:p>
      <w:pPr>
        <w:pStyle w:val="Recuodecorpodetexto2"/>
        <w:ind w:hanging="709" w:end="0"/>
        <w:rPr/>
      </w:pPr>
      <w:r>
        <w:rPr/>
      </w:r>
    </w:p>
    <w:p>
      <w:pPr>
        <w:pStyle w:val="Recuodecorpodetexto2"/>
        <w:ind w:hanging="1418" w:end="0"/>
        <w:rPr>
          <w:b/>
        </w:rPr>
      </w:pPr>
      <w:r>
        <w:rPr>
          <w:b/>
        </w:rPr>
        <w:t>II   -   IDENTIFICATION OF THE REPRESENTATIVE</w:t>
      </w:r>
    </w:p>
    <w:p>
      <w:pPr>
        <w:pStyle w:val="Normal"/>
        <w:ind w:start="1418" w:end="0"/>
        <w:jc w:val="both"/>
        <w:rPr>
          <w:b/>
          <w:sz w:val="24"/>
          <w:lang w:val="en-US"/>
        </w:rPr>
      </w:pPr>
      <w:r>
        <w:rPr>
          <w:b/>
          <w:sz w:val="24"/>
          <w:lang w:val="en-US"/>
        </w:rPr>
      </w:r>
    </w:p>
    <w:p>
      <w:pPr>
        <w:pStyle w:val="Normal"/>
        <w:ind w:firstLine="708" w:end="0"/>
        <w:jc w:val="both"/>
        <w:rPr>
          <w:sz w:val="24"/>
          <w:lang w:val="en-US"/>
        </w:rPr>
      </w:pPr>
      <w:r>
        <w:rPr>
          <w:sz w:val="24"/>
          <w:lang w:val="en-US"/>
        </w:rPr>
        <w:t>1. Representative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Name of individual or company name: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Address:</w:t>
      </w:r>
    </w:p>
    <w:p>
      <w:pPr>
        <w:pStyle w:val="Normal"/>
        <w:ind w:firstLine="708" w:end="0"/>
        <w:jc w:val="both"/>
        <w:rPr>
          <w:sz w:val="24"/>
          <w:lang w:val="en-US"/>
        </w:rPr>
      </w:pPr>
      <w:r>
        <w:rPr>
          <w:sz w:val="24"/>
          <w:lang w:val="en-US"/>
        </w:rPr>
      </w:r>
    </w:p>
    <w:tbl>
      <w:tblPr>
        <w:tblW w:w="5206" w:type="dxa"/>
        <w:jc w:val="start"/>
        <w:tblInd w:w="779" w:type="dxa"/>
        <w:tblLayout w:type="fixed"/>
        <w:tblCellMar>
          <w:top w:w="0" w:type="dxa"/>
          <w:start w:w="70" w:type="dxa"/>
          <w:bottom w:w="0" w:type="dxa"/>
          <w:end w:w="70" w:type="dxa"/>
        </w:tblCellMar>
      </w:tblPr>
      <w:tblGrid>
        <w:gridCol w:w="2213"/>
        <w:gridCol w:w="2993"/>
      </w:tblGrid>
      <w:tr>
        <w:trPr/>
        <w:tc>
          <w:tcPr>
            <w:tcW w:w="2213" w:type="dxa"/>
            <w:tcBorders/>
          </w:tcPr>
          <w:p>
            <w:pPr>
              <w:pStyle w:val="Normal"/>
              <w:jc w:val="both"/>
              <w:rPr>
                <w:sz w:val="24"/>
                <w:lang w:val="en-US"/>
              </w:rPr>
            </w:pPr>
            <w:r>
              <w:rPr>
                <w:sz w:val="24"/>
                <w:lang w:val="en-US"/>
              </w:rPr>
              <w:t xml:space="preserve">   </w:t>
            </w:r>
            <w:r>
              <w:rPr>
                <w:sz w:val="24"/>
                <w:lang w:val="en-US"/>
              </w:rPr>
              <w:t>City</w:t>
            </w:r>
          </w:p>
          <w:p>
            <w:pPr>
              <w:pStyle w:val="Normal"/>
              <w:jc w:val="both"/>
              <w:rPr>
                <w:sz w:val="24"/>
                <w:lang w:val="en-US"/>
              </w:rPr>
            </w:pPr>
            <w:r>
              <w:rPr>
                <w:sz w:val="24"/>
                <w:lang w:val="en-US"/>
              </w:rPr>
            </w:r>
          </w:p>
        </w:tc>
        <w:tc>
          <w:tcPr>
            <w:tcW w:w="2993" w:type="dxa"/>
            <w:tcBorders/>
          </w:tcPr>
          <w:p>
            <w:pPr>
              <w:pStyle w:val="Normal"/>
              <w:jc w:val="both"/>
              <w:rPr>
                <w:sz w:val="24"/>
                <w:lang w:val="en-US"/>
              </w:rPr>
            </w:pPr>
            <w:r>
              <w:rPr>
                <w:sz w:val="24"/>
                <w:lang w:val="en-US"/>
              </w:rPr>
              <w:t>State:</w:t>
            </w:r>
          </w:p>
        </w:tc>
      </w:tr>
      <w:tr>
        <w:trPr/>
        <w:tc>
          <w:tcPr>
            <w:tcW w:w="2213" w:type="dxa"/>
            <w:tcBorders/>
          </w:tcPr>
          <w:p>
            <w:pPr>
              <w:pStyle w:val="Normal"/>
              <w:jc w:val="both"/>
              <w:rPr>
                <w:sz w:val="24"/>
                <w:lang w:val="en-US"/>
              </w:rPr>
            </w:pPr>
            <w:r>
              <w:rPr>
                <w:sz w:val="24"/>
                <w:lang w:val="en-US"/>
              </w:rPr>
              <w:t xml:space="preserve">    </w:t>
            </w:r>
            <w:r>
              <w:rPr>
                <w:sz w:val="24"/>
                <w:lang w:val="en-US"/>
              </w:rPr>
              <w:t>Zip Code:</w:t>
            </w:r>
          </w:p>
        </w:tc>
        <w:tc>
          <w:tcPr>
            <w:tcW w:w="2993" w:type="dxa"/>
            <w:tcBorders/>
          </w:tcPr>
          <w:p>
            <w:pPr>
              <w:pStyle w:val="Normal"/>
              <w:jc w:val="both"/>
              <w:rPr>
                <w:sz w:val="24"/>
                <w:lang w:val="en-US"/>
              </w:rPr>
            </w:pPr>
            <w:r>
              <w:rPr>
                <w:sz w:val="24"/>
                <w:lang w:val="en-US"/>
              </w:rPr>
              <w:t>Fax N.:</w:t>
            </w:r>
          </w:p>
        </w:tc>
      </w:tr>
    </w:tbl>
    <w:p>
      <w:pPr>
        <w:pStyle w:val="Normal"/>
        <w:ind w:firstLine="426" w:start="708" w:end="0"/>
        <w:jc w:val="both"/>
        <w:rPr>
          <w:sz w:val="24"/>
          <w:lang w:val="en-US"/>
        </w:rPr>
      </w:pPr>
      <w:r>
        <w:rPr>
          <w:sz w:val="24"/>
          <w:lang w:val="en-US"/>
        </w:rPr>
      </w:r>
    </w:p>
    <w:p>
      <w:pPr>
        <w:pStyle w:val="Normal"/>
        <w:ind w:firstLine="1" w:start="708" w:end="0"/>
        <w:jc w:val="both"/>
        <w:rPr>
          <w:sz w:val="24"/>
          <w:lang w:val="en-US"/>
        </w:rPr>
      </w:pPr>
      <w:r>
        <w:rPr>
          <w:sz w:val="24"/>
          <w:lang w:val="en-US"/>
        </w:rPr>
        <w:t>Telephone N.:</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National Register of Legal Entities/Individual Taxpayers’ Register N.:</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 xml:space="preserve">Legal form: </w:t>
        <w:tab/>
        <w:tab/>
        <w:tab/>
        <w:t>Line of business:</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Internet address:</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Person liable for foreign capital registration        (  ) YES   (  ) NO</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 xml:space="preserve">2. Jointly Responsible Representative referred to in paragraph 2 of article 3 of this Resolution (if it is the case): </w:t>
      </w:r>
    </w:p>
    <w:p>
      <w:pPr>
        <w:pStyle w:val="Normal"/>
        <w:ind w:firstLine="1" w:start="708" w:end="0"/>
        <w:jc w:val="both"/>
        <w:rPr>
          <w:sz w:val="24"/>
          <w:lang w:val="en-US"/>
        </w:rPr>
      </w:pPr>
      <w:r>
        <w:rPr>
          <w:sz w:val="24"/>
          <w:lang w:val="en-US"/>
        </w:rPr>
      </w:r>
    </w:p>
    <w:p>
      <w:pPr>
        <w:pStyle w:val="Normal"/>
        <w:ind w:firstLine="708" w:end="0"/>
        <w:jc w:val="both"/>
        <w:rPr>
          <w:sz w:val="24"/>
          <w:lang w:val="en-US"/>
        </w:rPr>
      </w:pPr>
      <w:r>
        <w:rPr>
          <w:sz w:val="24"/>
          <w:lang w:val="en-US"/>
        </w:rPr>
        <w:t>Name of individual or company name:</w:t>
      </w:r>
    </w:p>
    <w:p>
      <w:pPr>
        <w:pStyle w:val="Normal"/>
        <w:ind w:firstLine="708" w:end="0"/>
        <w:jc w:val="both"/>
        <w:rPr>
          <w:sz w:val="24"/>
          <w:lang w:val="en-US"/>
        </w:rPr>
      </w:pPr>
      <w:r>
        <w:rPr>
          <w:sz w:val="24"/>
          <w:lang w:val="en-US"/>
        </w:rPr>
      </w:r>
    </w:p>
    <w:p>
      <w:pPr>
        <w:pStyle w:val="Normal"/>
        <w:ind w:firstLine="708" w:end="0"/>
        <w:jc w:val="both"/>
        <w:rPr>
          <w:sz w:val="24"/>
          <w:lang w:val="en-US"/>
        </w:rPr>
      </w:pPr>
      <w:r>
        <w:rPr>
          <w:sz w:val="24"/>
          <w:lang w:val="en-US"/>
        </w:rPr>
        <w:t>Address:</w:t>
      </w:r>
    </w:p>
    <w:p>
      <w:pPr>
        <w:pStyle w:val="Normal"/>
        <w:ind w:firstLine="708" w:end="0"/>
        <w:jc w:val="both"/>
        <w:rPr>
          <w:sz w:val="24"/>
          <w:lang w:val="en-US"/>
        </w:rPr>
      </w:pPr>
      <w:r>
        <w:rPr>
          <w:sz w:val="24"/>
          <w:lang w:val="en-US"/>
        </w:rPr>
      </w:r>
    </w:p>
    <w:tbl>
      <w:tblPr>
        <w:tblW w:w="5206" w:type="dxa"/>
        <w:jc w:val="start"/>
        <w:tblInd w:w="779" w:type="dxa"/>
        <w:tblLayout w:type="fixed"/>
        <w:tblCellMar>
          <w:top w:w="0" w:type="dxa"/>
          <w:start w:w="70" w:type="dxa"/>
          <w:bottom w:w="0" w:type="dxa"/>
          <w:end w:w="70" w:type="dxa"/>
        </w:tblCellMar>
      </w:tblPr>
      <w:tblGrid>
        <w:gridCol w:w="2213"/>
        <w:gridCol w:w="2993"/>
      </w:tblGrid>
      <w:tr>
        <w:trPr/>
        <w:tc>
          <w:tcPr>
            <w:tcW w:w="2213" w:type="dxa"/>
            <w:tcBorders/>
          </w:tcPr>
          <w:p>
            <w:pPr>
              <w:pStyle w:val="Normal"/>
              <w:jc w:val="both"/>
              <w:rPr>
                <w:sz w:val="24"/>
                <w:lang w:val="en-US"/>
              </w:rPr>
            </w:pPr>
            <w:r>
              <w:rPr>
                <w:sz w:val="24"/>
                <w:lang w:val="en-US"/>
              </w:rPr>
              <w:t xml:space="preserve">   </w:t>
            </w:r>
            <w:r>
              <w:rPr>
                <w:sz w:val="24"/>
                <w:lang w:val="en-US"/>
              </w:rPr>
              <w:t>City</w:t>
            </w:r>
          </w:p>
          <w:p>
            <w:pPr>
              <w:pStyle w:val="Normal"/>
              <w:jc w:val="both"/>
              <w:rPr>
                <w:sz w:val="24"/>
                <w:lang w:val="en-US"/>
              </w:rPr>
            </w:pPr>
            <w:r>
              <w:rPr>
                <w:sz w:val="24"/>
                <w:lang w:val="en-US"/>
              </w:rPr>
            </w:r>
          </w:p>
        </w:tc>
        <w:tc>
          <w:tcPr>
            <w:tcW w:w="2993" w:type="dxa"/>
            <w:tcBorders/>
          </w:tcPr>
          <w:p>
            <w:pPr>
              <w:pStyle w:val="Normal"/>
              <w:jc w:val="both"/>
              <w:rPr>
                <w:sz w:val="24"/>
                <w:lang w:val="en-US"/>
              </w:rPr>
            </w:pPr>
            <w:r>
              <w:rPr>
                <w:sz w:val="24"/>
                <w:lang w:val="en-US"/>
              </w:rPr>
              <w:t>State:</w:t>
            </w:r>
          </w:p>
        </w:tc>
      </w:tr>
      <w:tr>
        <w:trPr/>
        <w:tc>
          <w:tcPr>
            <w:tcW w:w="2213" w:type="dxa"/>
            <w:tcBorders/>
          </w:tcPr>
          <w:p>
            <w:pPr>
              <w:pStyle w:val="Normal"/>
              <w:jc w:val="both"/>
              <w:rPr>
                <w:sz w:val="24"/>
                <w:lang w:val="en-US"/>
              </w:rPr>
            </w:pPr>
            <w:r>
              <w:rPr>
                <w:sz w:val="24"/>
                <w:lang w:val="en-US"/>
              </w:rPr>
              <w:t xml:space="preserve">    </w:t>
            </w:r>
            <w:r>
              <w:rPr>
                <w:sz w:val="24"/>
                <w:lang w:val="en-US"/>
              </w:rPr>
              <w:t>Zip Code:</w:t>
            </w:r>
          </w:p>
        </w:tc>
        <w:tc>
          <w:tcPr>
            <w:tcW w:w="2993" w:type="dxa"/>
            <w:tcBorders/>
          </w:tcPr>
          <w:p>
            <w:pPr>
              <w:pStyle w:val="Normal"/>
              <w:jc w:val="both"/>
              <w:rPr>
                <w:sz w:val="24"/>
                <w:lang w:val="en-US"/>
              </w:rPr>
            </w:pPr>
            <w:r>
              <w:rPr>
                <w:sz w:val="24"/>
                <w:lang w:val="en-US"/>
              </w:rPr>
              <w:t>Fax N.:</w:t>
            </w:r>
          </w:p>
        </w:tc>
      </w:tr>
    </w:tbl>
    <w:p>
      <w:pPr>
        <w:pStyle w:val="Normal"/>
        <w:ind w:firstLine="426" w:start="708" w:end="0"/>
        <w:jc w:val="both"/>
        <w:rPr>
          <w:sz w:val="24"/>
          <w:lang w:val="en-US"/>
        </w:rPr>
      </w:pPr>
      <w:r>
        <w:rPr>
          <w:sz w:val="24"/>
          <w:lang w:val="en-US"/>
        </w:rPr>
      </w:r>
    </w:p>
    <w:p>
      <w:pPr>
        <w:pStyle w:val="Normal"/>
        <w:ind w:firstLine="1" w:start="708" w:end="0"/>
        <w:jc w:val="both"/>
        <w:rPr>
          <w:sz w:val="24"/>
          <w:lang w:val="en-US"/>
        </w:rPr>
      </w:pPr>
      <w:r>
        <w:rPr>
          <w:sz w:val="24"/>
          <w:lang w:val="en-US"/>
        </w:rPr>
        <w:t>Telephone N.:</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National Register of Legal Entities/Individual Taxpayers’ Register No.:</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 xml:space="preserve">Legal form: </w:t>
        <w:tab/>
        <w:tab/>
        <w:tab/>
        <w:tab/>
        <w:t>Line of business:</w:t>
      </w:r>
    </w:p>
    <w:p>
      <w:pPr>
        <w:pStyle w:val="Normal"/>
        <w:ind w:firstLine="1" w:start="708" w:end="0"/>
        <w:jc w:val="both"/>
        <w:rPr>
          <w:sz w:val="24"/>
          <w:lang w:val="en-US"/>
        </w:rPr>
      </w:pPr>
      <w:r>
        <w:rPr>
          <w:sz w:val="24"/>
          <w:lang w:val="en-US"/>
        </w:rPr>
      </w:r>
    </w:p>
    <w:p>
      <w:pPr>
        <w:pStyle w:val="Normal"/>
        <w:ind w:firstLine="1" w:start="708" w:end="0"/>
        <w:jc w:val="both"/>
        <w:rPr>
          <w:sz w:val="24"/>
          <w:lang w:val="en-US"/>
        </w:rPr>
      </w:pPr>
      <w:r>
        <w:rPr>
          <w:sz w:val="24"/>
          <w:lang w:val="en-US"/>
        </w:rPr>
        <w:t>Internet address:</w:t>
      </w:r>
    </w:p>
    <w:p>
      <w:pPr>
        <w:pStyle w:val="Normal"/>
        <w:ind w:firstLine="1" w:start="708" w:end="0"/>
        <w:jc w:val="both"/>
        <w:rPr>
          <w:sz w:val="24"/>
          <w:lang w:val="en-US"/>
        </w:rPr>
      </w:pPr>
      <w:r>
        <w:rPr>
          <w:sz w:val="24"/>
          <w:lang w:val="en-US"/>
        </w:rPr>
      </w:r>
    </w:p>
    <w:p>
      <w:pPr>
        <w:pStyle w:val="Normal"/>
        <w:ind w:hanging="708" w:start="708" w:end="0"/>
        <w:jc w:val="both"/>
        <w:rPr>
          <w:sz w:val="24"/>
          <w:lang w:val="en-US"/>
        </w:rPr>
      </w:pPr>
      <w:r>
        <w:rPr>
          <w:sz w:val="24"/>
          <w:lang w:val="en-US"/>
        </w:rPr>
      </w:r>
    </w:p>
    <w:p>
      <w:pPr>
        <w:pStyle w:val="Heading4"/>
        <w:rPr/>
      </w:pPr>
      <w:r>
        <w:rPr/>
        <w:t>III   -   TAX STATUS OF INVESTOR IN BRAZIL</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1.</w:t>
        <w:tab/>
        <w:t>Taxation on Capital Gains</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  ) Exempt</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  ) Non-exempt</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2.</w:t>
        <w:tab/>
        <w:t>Taxation on Earnings</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  ) Exempt</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  ) Non-exempt</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3.</w:t>
        <w:tab/>
        <w:t>Investor’s representative for tax purposes:</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Name:</w:t>
      </w:r>
    </w:p>
    <w:p>
      <w:pPr>
        <w:pStyle w:val="Normal"/>
        <w:ind w:start="708" w:end="0"/>
        <w:jc w:val="both"/>
        <w:rPr>
          <w:sz w:val="24"/>
          <w:lang w:val="en-US"/>
        </w:rPr>
      </w:pPr>
      <w:r>
        <w:rPr>
          <w:sz w:val="24"/>
          <w:lang w:val="en-US"/>
        </w:rPr>
        <w:t>Address:</w:t>
      </w:r>
    </w:p>
    <w:p>
      <w:pPr>
        <w:pStyle w:val="Normal"/>
        <w:ind w:start="708" w:end="0"/>
        <w:jc w:val="both"/>
        <w:rPr>
          <w:sz w:val="24"/>
          <w:lang w:val="en-US"/>
        </w:rPr>
      </w:pPr>
      <w:r>
        <w:rPr>
          <w:sz w:val="24"/>
          <w:lang w:val="en-US"/>
        </w:rPr>
        <w:t>CPF/CNPJ:</w:t>
      </w:r>
    </w:p>
    <w:p>
      <w:pPr>
        <w:pStyle w:val="Normal"/>
        <w:ind w:hanging="708" w:start="708" w:end="0"/>
        <w:jc w:val="both"/>
        <w:rPr>
          <w:sz w:val="24"/>
          <w:lang w:val="en-US"/>
        </w:rPr>
      </w:pPr>
      <w:r>
        <w:rPr>
          <w:sz w:val="24"/>
          <w:lang w:val="en-US"/>
        </w:rPr>
      </w:r>
    </w:p>
    <w:p>
      <w:pPr>
        <w:pStyle w:val="Normal"/>
        <w:ind w:hanging="708" w:start="708" w:end="0"/>
        <w:jc w:val="both"/>
        <w:rPr>
          <w:b/>
          <w:sz w:val="24"/>
          <w:lang w:val="en-US"/>
        </w:rPr>
      </w:pPr>
      <w:r>
        <w:rPr>
          <w:b/>
          <w:sz w:val="24"/>
          <w:lang w:val="en-US"/>
        </w:rPr>
        <w:t>IV   -   STATEMENT BY THE INVESTOR:</w:t>
      </w:r>
    </w:p>
    <w:p>
      <w:pPr>
        <w:pStyle w:val="Normal"/>
        <w:ind w:hanging="708" w:start="708" w:end="0"/>
        <w:jc w:val="both"/>
        <w:rPr>
          <w:b/>
          <w:sz w:val="24"/>
          <w:lang w:val="en-US"/>
        </w:rPr>
      </w:pPr>
      <w:r>
        <w:rPr>
          <w:b/>
          <w:sz w:val="24"/>
          <w:lang w:val="en-US"/>
        </w:rPr>
      </w:r>
    </w:p>
    <w:p>
      <w:pPr>
        <w:pStyle w:val="Normal"/>
        <w:ind w:hanging="708" w:start="708" w:end="0"/>
        <w:jc w:val="both"/>
        <w:rPr>
          <w:sz w:val="24"/>
          <w:lang w:val="en-US"/>
        </w:rPr>
      </w:pPr>
      <w:r>
        <w:rPr>
          <w:sz w:val="24"/>
          <w:lang w:val="en-US"/>
        </w:rPr>
        <w:tab/>
        <w:t>I represent, under the penalties established in the law, that to all intents and purposes the information provided herein are true and that I accept all responsibilities resulting hereof.</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 xml:space="preserve"> </w:t>
      </w:r>
      <w:r>
        <w:rPr>
          <w:sz w:val="24"/>
          <w:lang w:val="en-US"/>
        </w:rPr>
        <w:tab/>
        <w:t>___________________________________           ________________________</w:t>
      </w:r>
    </w:p>
    <w:p>
      <w:pPr>
        <w:pStyle w:val="Normal"/>
        <w:ind w:hanging="708" w:start="708" w:end="0"/>
        <w:jc w:val="both"/>
        <w:rPr>
          <w:sz w:val="24"/>
          <w:lang w:val="en-US"/>
        </w:rPr>
      </w:pPr>
      <w:r>
        <w:rPr>
          <w:sz w:val="24"/>
          <w:lang w:val="en-US"/>
        </w:rPr>
        <w:tab/>
        <w:t>Signature of the Nonresident Investor</w:t>
        <w:tab/>
        <w:tab/>
        <w:tab/>
        <w:tab/>
        <w:tab/>
        <w:t>Date</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___________________________________</w:t>
      </w:r>
    </w:p>
    <w:p>
      <w:pPr>
        <w:pStyle w:val="Normal"/>
        <w:ind w:hanging="708" w:start="708" w:end="0"/>
        <w:jc w:val="both"/>
        <w:rPr>
          <w:sz w:val="24"/>
          <w:lang w:val="en-US"/>
        </w:rPr>
      </w:pPr>
      <w:r>
        <w:rPr>
          <w:sz w:val="24"/>
          <w:lang w:val="en-US"/>
        </w:rPr>
        <w:tab/>
        <w:t>Signature of the Representative</w:t>
      </w:r>
    </w:p>
    <w:p>
      <w:pPr>
        <w:pStyle w:val="Normal"/>
        <w:ind w:hanging="708" w:start="708" w:end="0"/>
        <w:jc w:val="both"/>
        <w:rPr>
          <w:sz w:val="24"/>
          <w:lang w:val="en-US"/>
        </w:rPr>
      </w:pPr>
      <w:r>
        <w:rPr>
          <w:sz w:val="24"/>
          <w:lang w:val="en-US"/>
        </w:rPr>
      </w:r>
    </w:p>
    <w:p>
      <w:pPr>
        <w:pStyle w:val="Normal"/>
        <w:ind w:hanging="708" w:start="708" w:end="0"/>
        <w:jc w:val="both"/>
        <w:rPr>
          <w:sz w:val="24"/>
          <w:lang w:val="en-US"/>
        </w:rPr>
      </w:pPr>
      <w:r>
        <w:rPr>
          <w:sz w:val="24"/>
          <w:lang w:val="en-US"/>
        </w:rPr>
        <w:tab/>
        <w:t>___________________________________</w:t>
      </w:r>
    </w:p>
    <w:p>
      <w:pPr>
        <w:pStyle w:val="Normal"/>
        <w:pBdr>
          <w:bottom w:val="single" w:sz="12" w:space="1" w:color="000000"/>
        </w:pBdr>
        <w:ind w:hanging="708" w:start="708" w:end="0"/>
        <w:jc w:val="both"/>
        <w:rPr>
          <w:sz w:val="24"/>
          <w:lang w:val="en-US"/>
        </w:rPr>
      </w:pPr>
      <w:r>
        <w:rPr>
          <w:sz w:val="24"/>
          <w:lang w:val="en-US"/>
        </w:rPr>
        <w:tab/>
        <w:t>Signature of the Jointly-Responsible Representative</w:t>
      </w:r>
    </w:p>
    <w:p>
      <w:pPr>
        <w:pStyle w:val="Normal"/>
        <w:pBdr>
          <w:bottom w:val="single" w:sz="12" w:space="1" w:color="000000"/>
        </w:pBdr>
        <w:ind w:hanging="708" w:start="708" w:end="0"/>
        <w:jc w:val="both"/>
        <w:rPr>
          <w:sz w:val="24"/>
          <w:lang w:val="en-US"/>
        </w:rPr>
      </w:pPr>
      <w:r>
        <w:rPr>
          <w:sz w:val="24"/>
          <w:lang w:val="en-US"/>
        </w:rPr>
      </w:r>
    </w:p>
    <w:p>
      <w:pPr>
        <w:pStyle w:val="Heading5"/>
        <w:rPr/>
      </w:pPr>
      <w:r>
        <w:rPr/>
        <w:t>V.</w:t>
        <w:tab/>
        <w:t>IDENTIFICATION CODES</w:t>
      </w:r>
    </w:p>
    <w:p>
      <w:pPr>
        <w:pStyle w:val="Normal"/>
        <w:pBdr>
          <w:bottom w:val="single" w:sz="12" w:space="1" w:color="000000"/>
        </w:pBdr>
        <w:ind w:hanging="708" w:start="708" w:end="0"/>
        <w:jc w:val="both"/>
        <w:rPr>
          <w:sz w:val="24"/>
          <w:lang w:val="en-US"/>
        </w:rPr>
      </w:pPr>
      <w:r>
        <w:rPr>
          <w:sz w:val="24"/>
          <w:lang w:val="en-US"/>
        </w:rPr>
      </w:r>
    </w:p>
    <w:p>
      <w:pPr>
        <w:pStyle w:val="Normal"/>
        <w:pBdr>
          <w:bottom w:val="single" w:sz="12" w:space="1" w:color="000000"/>
        </w:pBdr>
        <w:ind w:hanging="708" w:start="708" w:end="0"/>
        <w:jc w:val="both"/>
        <w:rPr>
          <w:sz w:val="24"/>
          <w:lang w:val="en-US"/>
        </w:rPr>
      </w:pPr>
      <w:r>
        <w:rPr>
          <w:sz w:val="24"/>
          <w:lang w:val="en-US"/>
        </w:rPr>
        <w:tab/>
        <w:t>CVM Code:</w:t>
      </w:r>
    </w:p>
    <w:p>
      <w:pPr>
        <w:pStyle w:val="Normal"/>
        <w:pBdr>
          <w:bottom w:val="single" w:sz="12" w:space="1" w:color="000000"/>
        </w:pBdr>
        <w:ind w:hanging="708" w:start="708" w:end="0"/>
        <w:jc w:val="both"/>
        <w:rPr>
          <w:sz w:val="24"/>
          <w:lang w:val="en-US"/>
        </w:rPr>
      </w:pPr>
      <w:r>
        <w:rPr>
          <w:sz w:val="24"/>
          <w:lang w:val="en-US"/>
        </w:rPr>
        <w:tab/>
        <w:t>RDE N.:</w:t>
      </w:r>
    </w:p>
    <w:p>
      <w:pPr>
        <w:pStyle w:val="Normal"/>
        <w:pBdr>
          <w:bottom w:val="single" w:sz="12" w:space="1" w:color="000000"/>
        </w:pBdr>
        <w:ind w:hanging="708" w:start="708" w:end="0"/>
        <w:jc w:val="both"/>
        <w:rPr>
          <w:sz w:val="24"/>
          <w:lang w:val="en-US"/>
        </w:rPr>
      </w:pPr>
      <w:r>
        <w:rPr>
          <w:sz w:val="24"/>
          <w:lang w:val="en-US"/>
        </w:rPr>
      </w:r>
    </w:p>
    <w:p>
      <w:pPr>
        <w:pStyle w:val="Normal"/>
        <w:pBdr>
          <w:bottom w:val="single" w:sz="12" w:space="1" w:color="000000"/>
        </w:pBdr>
        <w:ind w:hanging="708" w:start="708" w:end="0"/>
        <w:jc w:val="both"/>
        <w:rPr>
          <w:sz w:val="24"/>
          <w:lang w:val="en-US"/>
        </w:rPr>
      </w:pPr>
      <w:r>
        <w:rPr>
          <w:sz w:val="24"/>
          <w:lang w:val="en-US"/>
        </w:rPr>
      </w:r>
    </w:p>
    <w:p>
      <w:pPr>
        <w:pStyle w:val="Normal"/>
        <w:pBdr>
          <w:bottom w:val="single" w:sz="12" w:space="1" w:color="000000"/>
        </w:pBdr>
        <w:ind w:hanging="708" w:start="708" w:end="0"/>
        <w:jc w:val="both"/>
        <w:rPr>
          <w:sz w:val="24"/>
          <w:lang w:val="en-US"/>
        </w:rPr>
      </w:pPr>
      <w:r>
        <w:rPr>
          <w:sz w:val="24"/>
          <w:lang w:val="en-US"/>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8"/>
      <w:lang w:val="en-US"/>
    </w:rPr>
  </w:style>
  <w:style w:type="paragraph" w:styleId="Heading3">
    <w:name w:val="heading 3"/>
    <w:basedOn w:val="Normal"/>
    <w:next w:val="Normal"/>
    <w:qFormat/>
    <w:pPr>
      <w:keepNext w:val="true"/>
      <w:numPr>
        <w:ilvl w:val="2"/>
        <w:numId w:val="1"/>
      </w:numPr>
      <w:jc w:val="both"/>
      <w:outlineLvl w:val="2"/>
    </w:pPr>
    <w:rPr>
      <w:sz w:val="24"/>
      <w:lang w:val="en-US"/>
    </w:rPr>
  </w:style>
  <w:style w:type="paragraph" w:styleId="Heading4">
    <w:name w:val="heading 4"/>
    <w:basedOn w:val="Normal"/>
    <w:next w:val="Normal"/>
    <w:qFormat/>
    <w:pPr>
      <w:keepNext w:val="true"/>
      <w:numPr>
        <w:ilvl w:val="3"/>
        <w:numId w:val="1"/>
      </w:numPr>
      <w:ind w:hanging="708" w:start="708" w:end="0"/>
      <w:jc w:val="both"/>
      <w:outlineLvl w:val="3"/>
    </w:pPr>
    <w:rPr>
      <w:b/>
      <w:sz w:val="24"/>
      <w:lang w:val="en-US"/>
    </w:rPr>
  </w:style>
  <w:style w:type="paragraph" w:styleId="Heading5">
    <w:name w:val="heading 5"/>
    <w:basedOn w:val="Normal"/>
    <w:next w:val="Normal"/>
    <w:qFormat/>
    <w:pPr>
      <w:keepNext w:val="true"/>
      <w:numPr>
        <w:ilvl w:val="4"/>
        <w:numId w:val="1"/>
      </w:numPr>
      <w:pBdr>
        <w:bottom w:val="single" w:sz="12" w:space="1" w:color="000000"/>
      </w:pBdr>
      <w:ind w:hanging="708" w:start="708" w:end="0"/>
      <w:jc w:val="both"/>
      <w:outlineLvl w:val="4"/>
    </w:pPr>
    <w:rPr>
      <w:b/>
      <w:sz w:val="24"/>
      <w:lang w:val="en-US"/>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969" w:end="0"/>
    </w:pPr>
    <w:rPr>
      <w:sz w:val="24"/>
    </w:rPr>
  </w:style>
  <w:style w:type="paragraph" w:styleId="Corpodetexto2">
    <w:name w:val="Corpo de texto 2"/>
    <w:basedOn w:val="Normal"/>
    <w:qFormat/>
    <w:pPr>
      <w:jc w:val="both"/>
    </w:pPr>
    <w:rPr>
      <w:sz w:val="24"/>
      <w:lang w:val="en-US"/>
    </w:rPr>
  </w:style>
  <w:style w:type="paragraph" w:styleId="Recuodecorpodetexto2">
    <w:name w:val="Recuo de corpo de texto 2"/>
    <w:basedOn w:val="Normal"/>
    <w:qFormat/>
    <w:pPr>
      <w:ind w:hanging="0" w:start="1418" w:end="0"/>
      <w:jc w:val="both"/>
    </w:pPr>
    <w:rPr>
      <w:sz w:val="24"/>
      <w:lang w:val="en-US"/>
    </w:rPr>
  </w:style>
  <w:style w:type="paragraph" w:styleId="Recuodecorpodetexto3">
    <w:name w:val="Recuo de corpo de texto 3"/>
    <w:basedOn w:val="Normal"/>
    <w:qFormat/>
    <w:pPr>
      <w:ind w:hanging="0" w:start="3969" w:end="0"/>
      <w:jc w:val="both"/>
    </w:pPr>
    <w:rPr>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2000-02-10T20:02:00Z</dcterms:created>
  <dc:creator>xxx</dc:creator>
  <dc:description/>
  <dc:language>en-CA</dc:language>
  <cp:lastModifiedBy>TFTS</cp:lastModifiedBy>
  <cp:lastPrinted>2000-02-10T19:26:00Z</cp:lastPrinted>
  <dcterms:modified xsi:type="dcterms:W3CDTF">2000-05-03T17:40:00Z</dcterms:modified>
  <cp:revision>6</cp:revision>
  <dc:subject/>
  <dc:title>RESOLUTION No</dc:title>
</cp:coreProperties>
</file>