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22"/>
        </w:rPr>
      </w:pPr>
      <w:r>
        <w:rPr>
          <w:b/>
          <w:sz w:val="22"/>
        </w:rPr>
        <w:t>Requisite Technology</w:t>
      </w:r>
    </w:p>
    <w:p>
      <w:pPr>
        <w:pStyle w:val="Normal"/>
        <w:rPr>
          <w:b/>
          <w:sz w:val="22"/>
        </w:rPr>
      </w:pPr>
      <w:r>
        <w:rPr>
          <w:b/>
          <w:sz w:val="22"/>
        </w:rPr>
      </w:r>
    </w:p>
    <w:p>
      <w:pPr>
        <w:pStyle w:val="Normal"/>
        <w:rPr>
          <w:b/>
          <w:sz w:val="22"/>
          <w:u w:val="single"/>
        </w:rPr>
      </w:pPr>
      <w:r>
        <w:rPr>
          <w:b/>
          <w:sz w:val="22"/>
          <w:u w:val="single"/>
        </w:rPr>
        <w:t>Location:</w:t>
      </w:r>
    </w:p>
    <w:p>
      <w:pPr>
        <w:pStyle w:val="Normal"/>
        <w:rPr>
          <w:color w:val="000000"/>
          <w:sz w:val="22"/>
        </w:rPr>
      </w:pPr>
      <w:r>
        <w:rPr>
          <w:color w:val="000000"/>
          <w:sz w:val="22"/>
        </w:rPr>
        <w:t>10355 Westmoor Dr.</w:t>
        <w:tab/>
        <w:tab/>
        <w:tab/>
        <w:tab/>
        <w:t>Phone: 303-474-2200</w:t>
        <w:br/>
        <w:t xml:space="preserve">Westminster, CO 80021 </w:t>
        <w:tab/>
        <w:tab/>
        <w:tab/>
        <w:t>Fax: 303-474-2211</w:t>
      </w:r>
    </w:p>
    <w:p>
      <w:pPr>
        <w:pStyle w:val="BodyText"/>
        <w:rPr>
          <w:sz w:val="22"/>
        </w:rPr>
      </w:pPr>
      <w:hyperlink r:id="rId2">
        <w:r>
          <w:rPr>
            <w:rStyle w:val="Hyperlink"/>
            <w:sz w:val="22"/>
          </w:rPr>
          <w:t>www.requisite.com</w:t>
        </w:r>
      </w:hyperlink>
    </w:p>
    <w:p>
      <w:pPr>
        <w:pStyle w:val="BodyText"/>
        <w:rPr>
          <w:sz w:val="22"/>
        </w:rPr>
      </w:pPr>
      <w:r>
        <w:rPr>
          <w:sz w:val="22"/>
        </w:rPr>
      </w:r>
    </w:p>
    <w:p>
      <w:pPr>
        <w:pStyle w:val="Normal"/>
        <w:rPr>
          <w:b/>
          <w:sz w:val="22"/>
          <w:u w:val="single"/>
        </w:rPr>
      </w:pPr>
      <w:r>
        <w:rPr>
          <w:b/>
          <w:sz w:val="22"/>
          <w:u w:val="single"/>
        </w:rPr>
        <w:t>Officers &amp; Management:</w:t>
      </w:r>
    </w:p>
    <w:p>
      <w:pPr>
        <w:pStyle w:val="Normal"/>
        <w:rPr>
          <w:sz w:val="22"/>
        </w:rPr>
      </w:pPr>
      <w:r>
        <w:rPr>
          <w:sz w:val="22"/>
        </w:rPr>
        <w:t xml:space="preserve">Chairman and CEO: </w:t>
        <w:tab/>
        <w:tab/>
        <w:tab/>
        <w:tab/>
        <w:tab/>
        <w:t xml:space="preserve">Barbara J. Mowry </w:t>
      </w:r>
    </w:p>
    <w:p>
      <w:pPr>
        <w:pStyle w:val="Normal"/>
        <w:rPr>
          <w:sz w:val="22"/>
        </w:rPr>
      </w:pPr>
      <w:r>
        <w:rPr>
          <w:sz w:val="22"/>
        </w:rPr>
        <w:t xml:space="preserve">President and COO: </w:t>
        <w:tab/>
        <w:tab/>
        <w:tab/>
        <w:tab/>
        <w:tab/>
        <w:t xml:space="preserve">Louis Faust III </w:t>
      </w:r>
    </w:p>
    <w:p>
      <w:pPr>
        <w:pStyle w:val="Normal"/>
        <w:rPr>
          <w:sz w:val="22"/>
        </w:rPr>
      </w:pPr>
      <w:r>
        <w:rPr>
          <w:sz w:val="22"/>
        </w:rPr>
        <w:t xml:space="preserve">Chief Strategy &amp; Corp. Development Officer: </w:t>
        <w:tab/>
        <w:tab/>
        <w:t xml:space="preserve">Christopher W. Beall </w:t>
      </w:r>
    </w:p>
    <w:p>
      <w:pPr>
        <w:pStyle w:val="Normal"/>
        <w:rPr>
          <w:sz w:val="22"/>
        </w:rPr>
      </w:pPr>
      <w:r>
        <w:rPr>
          <w:sz w:val="22"/>
        </w:rPr>
        <w:t>CFO, Treasurer, and Assistant Secretary:</w:t>
        <w:tab/>
        <w:tab/>
        <w:t xml:space="preserve">Kathleen J. Cunningham </w:t>
      </w:r>
    </w:p>
    <w:p>
      <w:pPr>
        <w:pStyle w:val="Normal"/>
        <w:rPr>
          <w:sz w:val="22"/>
        </w:rPr>
      </w:pPr>
      <w:r>
        <w:rPr>
          <w:sz w:val="22"/>
        </w:rPr>
        <w:t>Chief Technology Officer:</w:t>
        <w:tab/>
        <w:tab/>
        <w:tab/>
        <w:tab/>
        <w:t xml:space="preserve">Michael R. Neal </w:t>
      </w:r>
    </w:p>
    <w:p>
      <w:pPr>
        <w:pStyle w:val="Normal"/>
        <w:rPr>
          <w:sz w:val="22"/>
        </w:rPr>
      </w:pPr>
      <w:r>
        <w:rPr>
          <w:sz w:val="22"/>
        </w:rPr>
        <w:t xml:space="preserve">VP of Global Sales: </w:t>
        <w:tab/>
        <w:tab/>
        <w:tab/>
        <w:tab/>
        <w:tab/>
        <w:t>Dush Ramachandran</w:t>
      </w:r>
    </w:p>
    <w:p>
      <w:pPr>
        <w:pStyle w:val="Normal"/>
        <w:rPr>
          <w:sz w:val="22"/>
        </w:rPr>
      </w:pPr>
      <w:r>
        <w:rPr>
          <w:sz w:val="22"/>
        </w:rPr>
        <w:t xml:space="preserve">VP of Marketing: </w:t>
        <w:tab/>
        <w:tab/>
        <w:tab/>
        <w:tab/>
        <w:tab/>
        <w:t>Joanna King</w:t>
      </w:r>
    </w:p>
    <w:p>
      <w:pPr>
        <w:pStyle w:val="Normal"/>
        <w:rPr>
          <w:sz w:val="22"/>
        </w:rPr>
      </w:pPr>
      <w:r>
        <w:rPr>
          <w:sz w:val="22"/>
        </w:rPr>
        <w:t xml:space="preserve">VP and Controller: </w:t>
        <w:tab/>
        <w:tab/>
        <w:tab/>
        <w:tab/>
        <w:tab/>
        <w:t>C. Jeff Dekker</w:t>
      </w:r>
    </w:p>
    <w:p>
      <w:pPr>
        <w:pStyle w:val="Normal"/>
        <w:rPr>
          <w:sz w:val="22"/>
        </w:rPr>
      </w:pPr>
      <w:r>
        <w:rPr>
          <w:sz w:val="22"/>
        </w:rPr>
      </w:r>
    </w:p>
    <w:p>
      <w:pPr>
        <w:pStyle w:val="Heading3"/>
        <w:ind w:hanging="0" w:start="0"/>
        <w:rPr>
          <w:sz w:val="22"/>
        </w:rPr>
      </w:pPr>
      <w:r>
        <w:rPr>
          <w:sz w:val="22"/>
        </w:rPr>
        <w:t>Business Summary</w:t>
      </w:r>
    </w:p>
    <w:p>
      <w:pPr>
        <w:pStyle w:val="Normal"/>
        <w:rPr>
          <w:sz w:val="22"/>
        </w:rPr>
      </w:pPr>
      <w:r>
        <w:rPr>
          <w:sz w:val="22"/>
        </w:rPr>
        <w:t xml:space="preserve">Requisite Technology breaks online catalogs down to the essentials. The company generates 46% of its sales from the conversion of client product and service information into electronic catalogs. Its software includes BugsEye, for helping online shoppers find and compare product and service information from large, multisupplier catalogs, and eMerge, for corporate management of online catalogs. Requisite licenses its software to companies such as Oracle and SAP, which integrate it into procurement suites in exchange for license and royalty fees. </w:t>
      </w:r>
    </w:p>
    <w:p>
      <w:pPr>
        <w:pStyle w:val="Normal"/>
        <w:rPr>
          <w:sz w:val="22"/>
        </w:rPr>
      </w:pPr>
      <w:r>
        <w:rPr>
          <w:sz w:val="22"/>
        </w:rPr>
      </w:r>
    </w:p>
    <w:p>
      <w:pPr>
        <w:pStyle w:val="BodyText3"/>
        <w:rPr/>
      </w:pPr>
      <w:r>
        <w:rPr/>
        <w:t xml:space="preserve">Requisite has developed strategic relationships with American Management Systems, Inc., Corio, Inc., ICG Commerce, Inc., Infobank International Holdings plc, Oracle Corporation, Remedy Corporation and SAP AG, each of which has licensed Requisite products and integrates or intends to integrate Requisite’s technology with their e-commerce procurement applications.  </w:t>
      </w:r>
    </w:p>
    <w:p>
      <w:pPr>
        <w:pStyle w:val="Normal"/>
        <w:rPr>
          <w:sz w:val="22"/>
        </w:rPr>
      </w:pPr>
      <w:r>
        <w:rPr>
          <w:sz w:val="22"/>
        </w:rPr>
      </w:r>
    </w:p>
    <w:p>
      <w:pPr>
        <w:pStyle w:val="Normal"/>
        <w:rPr>
          <w:sz w:val="22"/>
        </w:rPr>
      </w:pPr>
      <w:r>
        <w:rPr>
          <w:sz w:val="22"/>
        </w:rPr>
        <w:t>As of August 25, 2000, Requisite has sold content management and finding solutions to 65 customers.  Three clients -- SAP, W.W. Grainger, and SciQuest.com -- account for 80% of sales. In the six months ended June 30, 2000, one customer, SAP AG, accounted for 66% of revenue.</w:t>
      </w:r>
    </w:p>
    <w:p>
      <w:pPr>
        <w:pStyle w:val="Heading1"/>
        <w:ind w:hanging="0" w:start="0"/>
        <w:rPr>
          <w:b/>
          <w:sz w:val="22"/>
          <w:u w:val="single"/>
        </w:rPr>
      </w:pPr>
      <w:r>
        <w:rPr>
          <w:b/>
          <w:sz w:val="22"/>
          <w:u w:val="single"/>
        </w:rPr>
      </w:r>
    </w:p>
    <w:p>
      <w:pPr>
        <w:pStyle w:val="Heading1"/>
        <w:ind w:hanging="0" w:start="0"/>
        <w:rPr>
          <w:b/>
          <w:sz w:val="22"/>
          <w:u w:val="single"/>
        </w:rPr>
      </w:pPr>
      <w:r>
        <w:rPr>
          <w:b/>
          <w:sz w:val="22"/>
          <w:u w:val="single"/>
        </w:rPr>
        <w:t>Financial Overview</w:t>
      </w:r>
    </w:p>
    <w:p>
      <w:pPr>
        <w:pStyle w:val="Normal"/>
        <w:rPr>
          <w:sz w:val="22"/>
        </w:rPr>
      </w:pPr>
      <w:r>
        <w:rPr>
          <w:sz w:val="22"/>
        </w:rPr>
        <w:t>FY1999 Revenues:</w:t>
        <w:tab/>
        <w:tab/>
        <w:tab/>
        <w:tab/>
        <w:t>$7.3 Million</w:t>
        <w:tab/>
        <w:tab/>
        <w:tab/>
      </w:r>
    </w:p>
    <w:p>
      <w:pPr>
        <w:pStyle w:val="Normal"/>
        <w:rPr>
          <w:sz w:val="22"/>
        </w:rPr>
      </w:pPr>
      <w:r>
        <w:rPr>
          <w:sz w:val="22"/>
        </w:rPr>
        <w:t>FY 1999 Net Income:</w:t>
        <w:tab/>
        <w:tab/>
        <w:tab/>
        <w:tab/>
        <w:t>($11.7 M)</w:t>
      </w:r>
    </w:p>
    <w:p>
      <w:pPr>
        <w:pStyle w:val="Normal"/>
        <w:rPr>
          <w:sz w:val="22"/>
        </w:rPr>
      </w:pPr>
      <w:r>
        <w:rPr>
          <w:sz w:val="22"/>
        </w:rPr>
        <w:t>Revenue for 6 mos. Ended 6/30/00:</w:t>
        <w:tab/>
        <w:tab/>
        <w:t>$14.2 M</w:t>
      </w:r>
    </w:p>
    <w:p>
      <w:pPr>
        <w:pStyle w:val="Normal"/>
        <w:rPr>
          <w:sz w:val="22"/>
        </w:rPr>
      </w:pPr>
      <w:r>
        <w:rPr>
          <w:sz w:val="22"/>
        </w:rPr>
        <w:t>Net Income for 6 mos. Ended 6/30/00:</w:t>
        <w:tab/>
        <w:tab/>
        <w:t>($8.7 M)</w:t>
      </w:r>
    </w:p>
    <w:p>
      <w:pPr>
        <w:pStyle w:val="Normal"/>
        <w:rPr>
          <w:sz w:val="22"/>
        </w:rPr>
      </w:pPr>
      <w:r>
        <w:rPr>
          <w:sz w:val="22"/>
        </w:rPr>
        <w:t>Cash, 6 mos. Ended 6/30/00:</w:t>
        <w:tab/>
        <w:tab/>
        <w:tab/>
        <w:t>$19.25 M</w:t>
        <w:tab/>
        <w:tab/>
      </w:r>
    </w:p>
    <w:p>
      <w:pPr>
        <w:pStyle w:val="Normal"/>
        <w:rPr>
          <w:sz w:val="22"/>
        </w:rPr>
      </w:pPr>
      <w:r>
        <w:rPr>
          <w:sz w:val="22"/>
        </w:rPr>
      </w:r>
    </w:p>
    <w:p>
      <w:pPr>
        <w:pStyle w:val="BodyText3"/>
        <w:rPr/>
      </w:pPr>
      <w:r>
        <w:rPr/>
        <w:t>Requisite incurred net losses of $5.0 million in 1997, $5.9 million in 1998, $11.7 million in 1999 and $8.7 million for the six months ended June 30, 2000. As of June 30, 2000, the company had an accumulated deficit of approximately $34.6 million, and expects to continue to incur net losses for the foreseeable future</w:t>
      </w:r>
    </w:p>
    <w:p>
      <w:pPr>
        <w:pStyle w:val="BodyText3"/>
        <w:rPr/>
      </w:pPr>
      <w:r>
        <w:rPr/>
      </w:r>
    </w:p>
    <w:p>
      <w:pPr>
        <w:pStyle w:val="BodyText3"/>
        <w:rPr/>
      </w:pPr>
      <w:r>
        <w:rPr/>
        <w:t xml:space="preserve">Requisite (proposed ticker symbol: RQST) filed with the SEC for an IPO on September 5, 2000.  The IPO would raise $92 M in capital for the company. On November 14, 2000, Requisite Technology, Inc. secured $30 million in strategic funding from Oracle Corp.; SAP; and three current investors. This round of financing brought total capital invested in Requisite to $75 million. </w:t>
      </w:r>
    </w:p>
    <w:p>
      <w:pPr>
        <w:pStyle w:val="Normal"/>
        <w:rPr>
          <w:sz w:val="22"/>
        </w:rPr>
      </w:pPr>
      <w:r>
        <w:rPr>
          <w:sz w:val="22"/>
        </w:rPr>
      </w:r>
    </w:p>
    <w:p>
      <w:pPr>
        <w:pStyle w:val="Normal"/>
        <w:rPr>
          <w:b/>
          <w:sz w:val="22"/>
          <w:u w:val="single"/>
        </w:rPr>
      </w:pPr>
      <w:r>
        <w:rPr>
          <w:b/>
          <w:sz w:val="22"/>
          <w:u w:val="single"/>
        </w:rPr>
        <w:t>Requisite as Enron Vendor:</w:t>
      </w:r>
    </w:p>
    <w:p>
      <w:pPr>
        <w:pStyle w:val="Normal"/>
        <w:rPr>
          <w:b/>
          <w:sz w:val="22"/>
          <w:u w:val="single"/>
        </w:rPr>
      </w:pPr>
      <w:r>
        <w:rPr>
          <w:b/>
          <w:sz w:val="22"/>
          <w:u w:val="single"/>
        </w:rPr>
      </w:r>
    </w:p>
    <w:p>
      <w:pPr>
        <w:pStyle w:val="Normal"/>
        <w:rPr>
          <w:sz w:val="22"/>
        </w:rPr>
      </w:pPr>
      <w:r>
        <w:rPr>
          <w:sz w:val="22"/>
        </w:rPr>
      </w:r>
    </w:p>
    <w:p>
      <w:pPr>
        <w:pStyle w:val="Heading2"/>
        <w:ind w:hanging="0" w:start="0"/>
        <w:rPr>
          <w:b/>
          <w:sz w:val="22"/>
        </w:rPr>
      </w:pPr>
      <w:r>
        <w:rPr>
          <w:b/>
          <w:sz w:val="22"/>
        </w:rPr>
        <w:t>Network Information and Bandwidth Usage</w:t>
      </w:r>
    </w:p>
    <w:p>
      <w:pPr>
        <w:pStyle w:val="Normal"/>
        <w:rPr>
          <w:sz w:val="22"/>
        </w:rPr>
      </w:pPr>
      <w:r>
        <w:rPr>
          <w:sz w:val="22"/>
        </w:rPr>
        <w:t>From the Risk Factors section of the S-1:</w:t>
      </w:r>
    </w:p>
    <w:p>
      <w:pPr>
        <w:pStyle w:val="Normal"/>
        <w:ind w:start="720" w:end="0"/>
        <w:rPr>
          <w:sz w:val="22"/>
        </w:rPr>
      </w:pPr>
      <w:r>
        <w:rPr>
          <w:sz w:val="22"/>
        </w:rPr>
        <w:t>The performance of our server and networking hardware and software infrastructure is critical to our ability to store and manage content for those customers for which we provide hosting services. Currently, our core infrastructure and systems, including those necessary to deliver our products and services to our customers, are located at one site in Denver, Colorado.</w:t>
      </w:r>
    </w:p>
    <w:p>
      <w:pPr>
        <w:pStyle w:val="Normal"/>
        <w:rPr>
          <w:sz w:val="22"/>
        </w:rPr>
      </w:pPr>
      <w:r>
        <w:rPr>
          <w:sz w:val="22"/>
        </w:rPr>
      </w:r>
    </w:p>
    <w:p>
      <w:pPr>
        <w:pStyle w:val="Heading2"/>
        <w:ind w:hanging="0" w:start="0"/>
        <w:rPr>
          <w:b/>
          <w:sz w:val="22"/>
        </w:rPr>
      </w:pPr>
      <w:r>
        <w:rPr>
          <w:b/>
          <w:sz w:val="22"/>
        </w:rPr>
        <w:t>Recent News on Requisite</w:t>
      </w:r>
    </w:p>
    <w:p>
      <w:pPr>
        <w:pStyle w:val="Normal"/>
        <w:rPr>
          <w:b/>
          <w:sz w:val="22"/>
        </w:rPr>
      </w:pPr>
      <w:r>
        <w:rPr>
          <w:b/>
          <w:sz w:val="22"/>
        </w:rPr>
      </w:r>
    </w:p>
    <w:p>
      <w:pPr>
        <w:pStyle w:val="Normal"/>
        <w:rPr>
          <w:b/>
          <w:sz w:val="22"/>
          <w:u w:val="single"/>
        </w:rPr>
      </w:pPr>
      <w:r>
        <w:rPr>
          <w:b/>
          <w:sz w:val="22"/>
          <w:u w:val="single"/>
        </w:rPr>
        <w:t xml:space="preserve">Requisite’s Pain: </w:t>
      </w:r>
    </w:p>
    <w:p>
      <w:pPr>
        <w:pStyle w:val="BodyText3"/>
        <w:rPr/>
      </w:pPr>
      <w:r>
        <w:rPr/>
        <w:t xml:space="preserve">Upcoming IPO puts more pressure on requisite to increase revenues and become income-positive.  </w:t>
      </w:r>
    </w:p>
    <w:p>
      <w:pPr>
        <w:pStyle w:val="Normal"/>
        <w:rPr>
          <w:sz w:val="22"/>
        </w:rPr>
      </w:pPr>
      <w:r>
        <w:rPr>
          <w:sz w:val="22"/>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outlineLvl w:val="2"/>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BodyText3">
    <w:name w:val="Body Text 3"/>
    <w:basedOn w:val="Normal"/>
    <w:qFormat/>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quisite.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2000-12-14T19:14:00Z</dcterms:created>
  <dc:creator>dorothy_woster</dc:creator>
  <dc:description/>
  <dc:language>en-CA</dc:language>
  <cp:lastModifiedBy>dorothy_woster</cp:lastModifiedBy>
  <cp:lastPrinted>2000-09-25T15:32:00Z</cp:lastPrinted>
  <dcterms:modified xsi:type="dcterms:W3CDTF">2000-12-14T20:46:00Z</dcterms:modified>
  <cp:revision>27</cp:revision>
  <dc:subject/>
  <dc:title>CMGI</dc:title>
</cp:coreProperties>
</file>