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Requirements for DTF Status</w:t>
      </w:r>
    </w:p>
    <w:p>
      <w:pPr>
        <w:pStyle w:val="Normal"/>
        <w:rPr/>
      </w:pPr>
      <w:r>
        <w:rPr/>
      </w:r>
    </w:p>
    <w:p>
      <w:pPr>
        <w:pStyle w:val="Heading1"/>
        <w:ind w:hanging="0" w:start="0"/>
        <w:rPr/>
      </w:pPr>
      <w:r>
        <w:rPr/>
        <w:t>Rules</w:t>
      </w:r>
    </w:p>
    <w:p>
      <w:pPr>
        <w:pStyle w:val="BodyTextIndent"/>
        <w:rPr/>
      </w:pPr>
      <w:r>
        <w:rPr/>
      </w:r>
    </w:p>
    <w:p>
      <w:pPr>
        <w:pStyle w:val="BodyTextIndent"/>
        <w:numPr>
          <w:ilvl w:val="0"/>
          <w:numId w:val="2"/>
        </w:numPr>
        <w:rPr/>
      </w:pPr>
      <w:r>
        <w:rPr/>
        <w:t>Either:</w:t>
      </w:r>
    </w:p>
    <w:p>
      <w:pPr>
        <w:pStyle w:val="BodyTextIndent"/>
        <w:numPr>
          <w:ilvl w:val="1"/>
          <w:numId w:val="2"/>
        </w:numPr>
        <w:rPr/>
      </w:pPr>
      <w:r>
        <w:rPr/>
        <w:t>To deter trading abuses and adequate power and capacity to detect, investigate and take action against violation of its trade rules, or</w:t>
      </w:r>
    </w:p>
    <w:p>
      <w:pPr>
        <w:pStyle w:val="BodyTextIndent"/>
        <w:numPr>
          <w:ilvl w:val="1"/>
          <w:numId w:val="2"/>
        </w:numPr>
        <w:rPr/>
      </w:pPr>
      <w:r>
        <w:rPr/>
        <w:t>Technology that provides participants with impartial access to transactions and captures information that is available for use in determining whether violations of its rules have occurred.</w:t>
      </w:r>
    </w:p>
    <w:p>
      <w:pPr>
        <w:pStyle w:val="BodyTextIndent"/>
        <w:numPr>
          <w:ilvl w:val="0"/>
          <w:numId w:val="2"/>
        </w:numPr>
        <w:rPr/>
      </w:pPr>
      <w:r>
        <w:rPr/>
        <w:t>Defining the operation of the trading mechanism or electronic matching platform.</w:t>
      </w:r>
    </w:p>
    <w:p>
      <w:pPr>
        <w:pStyle w:val="BodyTextIndent"/>
        <w:numPr>
          <w:ilvl w:val="0"/>
          <w:numId w:val="2"/>
        </w:numPr>
        <w:rPr/>
      </w:pPr>
      <w:r>
        <w:rPr/>
        <w:t>Detailing the financial framework applying to the transactions or ensuring the financial integrity of transactions entered into through its facilities.</w:t>
      </w:r>
    </w:p>
    <w:p>
      <w:pPr>
        <w:pStyle w:val="BodyTextIndent"/>
        <w:ind w:start="0" w:end="0"/>
        <w:rPr/>
      </w:pPr>
      <w:r>
        <w:rPr/>
      </w:r>
    </w:p>
    <w:p>
      <w:pPr>
        <w:pStyle w:val="Heading1"/>
        <w:ind w:hanging="0" w:start="0"/>
        <w:rPr/>
      </w:pPr>
      <w:r>
        <w:rPr/>
        <w:t>Compliance with Seven Core Principles</w:t>
      </w:r>
    </w:p>
    <w:p>
      <w:pPr>
        <w:pStyle w:val="Normal"/>
        <w:rPr/>
      </w:pPr>
      <w:r>
        <w:rPr/>
      </w:r>
    </w:p>
    <w:p>
      <w:pPr>
        <w:pStyle w:val="Normal"/>
        <w:numPr>
          <w:ilvl w:val="0"/>
          <w:numId w:val="4"/>
        </w:numPr>
        <w:rPr/>
      </w:pPr>
      <w:r>
        <w:rPr>
          <w:u w:val="single"/>
        </w:rPr>
        <w:t>Enforcement</w:t>
      </w:r>
      <w:r>
        <w:rPr/>
        <w:t xml:space="preserve"> – the facility must enforce its rules and have the authority and ability to suspend a participant’s access pursuant to clear and fair standards.</w:t>
      </w:r>
    </w:p>
    <w:p>
      <w:pPr>
        <w:pStyle w:val="Normal"/>
        <w:numPr>
          <w:ilvl w:val="0"/>
          <w:numId w:val="4"/>
        </w:numPr>
        <w:rPr/>
      </w:pPr>
      <w:r>
        <w:rPr>
          <w:u w:val="single"/>
        </w:rPr>
        <w:t>Market oversight</w:t>
      </w:r>
      <w:r>
        <w:rPr/>
        <w:t xml:space="preserve"> – </w:t>
      </w:r>
    </w:p>
    <w:p>
      <w:pPr>
        <w:pStyle w:val="Normal"/>
        <w:numPr>
          <w:ilvl w:val="1"/>
          <w:numId w:val="4"/>
        </w:numPr>
        <w:rPr/>
      </w:pPr>
      <w:r>
        <w:rPr/>
        <w:t>Monitor markets to ensure fair and orderly trading and have authority to maintain a fair and orderly market.</w:t>
      </w:r>
    </w:p>
    <w:p>
      <w:pPr>
        <w:pStyle w:val="Normal"/>
        <w:numPr>
          <w:ilvl w:val="1"/>
          <w:numId w:val="4"/>
        </w:numPr>
        <w:rPr/>
      </w:pPr>
      <w:r>
        <w:rPr/>
        <w:t>Provide information to the CFTC as required from time to time.</w:t>
      </w:r>
    </w:p>
    <w:p>
      <w:pPr>
        <w:pStyle w:val="Normal"/>
        <w:numPr>
          <w:ilvl w:val="1"/>
          <w:numId w:val="4"/>
        </w:numPr>
        <w:rPr/>
      </w:pPr>
      <w:r>
        <w:rPr/>
        <w:t>Initial and periodic objective system testing to ensure function, capacity and security.</w:t>
      </w:r>
    </w:p>
    <w:p>
      <w:pPr>
        <w:pStyle w:val="Normal"/>
        <w:numPr>
          <w:ilvl w:val="1"/>
          <w:numId w:val="4"/>
        </w:numPr>
        <w:rPr/>
      </w:pPr>
      <w:r>
        <w:rPr/>
        <w:t>The facility should address access to and use of material non-public information by owners, operators, participants and facility employees.</w:t>
      </w:r>
    </w:p>
    <w:p>
      <w:pPr>
        <w:pStyle w:val="Normal"/>
        <w:numPr>
          <w:ilvl w:val="0"/>
          <w:numId w:val="4"/>
        </w:numPr>
        <w:rPr/>
      </w:pPr>
      <w:r>
        <w:rPr>
          <w:u w:val="single"/>
        </w:rPr>
        <w:t>Operational information</w:t>
      </w:r>
      <w:r>
        <w:rPr/>
        <w:t xml:space="preserve"> – disclose to CFTC and market participants information concerning rules, contract terms, trading mechanisms, financial integrity arrangements, system testing, etc.  Liability limitations my not include liability for violations of the CEA, CFTC rules, fraud or wanton or willful misconduct.</w:t>
      </w:r>
    </w:p>
    <w:p>
      <w:pPr>
        <w:pStyle w:val="Normal"/>
        <w:numPr>
          <w:ilvl w:val="0"/>
          <w:numId w:val="4"/>
        </w:numPr>
        <w:rPr>
          <w:u w:val="single"/>
        </w:rPr>
      </w:pPr>
      <w:r>
        <w:rPr>
          <w:u w:val="single"/>
        </w:rPr>
        <w:t>Transparency</w:t>
      </w:r>
      <w:r>
        <w:rPr/>
        <w:t xml:space="preserve"> – provide fair and timely information:</w:t>
      </w:r>
    </w:p>
    <w:p>
      <w:pPr>
        <w:pStyle w:val="Normal"/>
        <w:numPr>
          <w:ilvl w:val="1"/>
          <w:numId w:val="4"/>
        </w:numPr>
        <w:rPr>
          <w:u w:val="single"/>
        </w:rPr>
      </w:pPr>
      <w:r>
        <w:rPr/>
        <w:t>To market participants regarding prices, bids and offers and other relevant information, and</w:t>
      </w:r>
    </w:p>
    <w:p>
      <w:pPr>
        <w:pStyle w:val="Normal"/>
        <w:numPr>
          <w:ilvl w:val="1"/>
          <w:numId w:val="4"/>
        </w:numPr>
        <w:rPr>
          <w:u w:val="single"/>
        </w:rPr>
      </w:pPr>
      <w:r>
        <w:rPr/>
        <w:t>To the public concerning daily opening and closing prices, price range, trading volume, etc. for actively traded products.</w:t>
      </w:r>
    </w:p>
    <w:p>
      <w:pPr>
        <w:pStyle w:val="Normal"/>
        <w:numPr>
          <w:ilvl w:val="0"/>
          <w:numId w:val="4"/>
        </w:numPr>
        <w:rPr>
          <w:u w:val="single"/>
        </w:rPr>
      </w:pPr>
      <w:r>
        <w:rPr>
          <w:u w:val="single"/>
        </w:rPr>
        <w:t>Fitness</w:t>
      </w:r>
      <w:r>
        <w:rPr/>
        <w:t xml:space="preserve"> – have fitness standards for members, operators or owners with more than 10% interest, board members and those who make disciplinary determinations.</w:t>
      </w:r>
    </w:p>
    <w:p>
      <w:pPr>
        <w:pStyle w:val="Normal"/>
        <w:numPr>
          <w:ilvl w:val="0"/>
          <w:numId w:val="4"/>
        </w:numPr>
        <w:rPr>
          <w:u w:val="single"/>
        </w:rPr>
      </w:pPr>
      <w:r>
        <w:rPr>
          <w:u w:val="single"/>
        </w:rPr>
        <w:t>Record keeping</w:t>
      </w:r>
      <w:r>
        <w:rPr/>
        <w:t xml:space="preserve"> – keep full books and records related to its business as a DTF including full information relating to data entry and trade details sufficient to reconstruct trading for 5 years (must be readily available and opened to any representative of CFTC or Justice Dept. for 2 years) and all changes to rules, terms and conditions and trading protocols.</w:t>
      </w:r>
    </w:p>
    <w:p>
      <w:pPr>
        <w:pStyle w:val="Normal"/>
        <w:numPr>
          <w:ilvl w:val="0"/>
          <w:numId w:val="4"/>
        </w:numPr>
        <w:rPr>
          <w:u w:val="single"/>
        </w:rPr>
      </w:pPr>
      <w:r>
        <w:rPr>
          <w:u w:val="single"/>
        </w:rPr>
        <w:t>Competition</w:t>
      </w:r>
      <w:r>
        <w:rPr/>
        <w:t xml:space="preserve"> – Operate in a manner consistent with the public interest protected by the antitrust laws.  The CFTC will consider the affect on competition when reviewing the facility’s rules and terms and conditions.</w:t>
      </w:r>
    </w:p>
    <w:p>
      <w:pPr>
        <w:pStyle w:val="Normal"/>
        <w:rPr>
          <w:u w:val="single"/>
        </w:rPr>
      </w:pPr>
      <w:r>
        <w:rPr>
          <w:u w:val="single"/>
        </w:rPr>
      </w:r>
    </w:p>
    <w:p>
      <w:pPr>
        <w:pStyle w:val="Heading1"/>
        <w:ind w:hanging="0" w:start="0"/>
        <w:rPr/>
      </w:pPr>
      <w:r>
        <w:rPr/>
        <w:t>Additional requirements</w:t>
      </w:r>
    </w:p>
    <w:p>
      <w:pPr>
        <w:pStyle w:val="Normal"/>
        <w:rPr/>
      </w:pPr>
      <w:r>
        <w:rPr/>
      </w:r>
    </w:p>
    <w:p>
      <w:pPr>
        <w:pStyle w:val="Normal"/>
        <w:numPr>
          <w:ilvl w:val="0"/>
          <w:numId w:val="3"/>
        </w:numPr>
        <w:rPr/>
      </w:pPr>
      <w:r>
        <w:rPr>
          <w:u w:val="single"/>
        </w:rPr>
        <w:t>Product and change notifications</w:t>
      </w:r>
      <w:r>
        <w:rPr/>
        <w:t xml:space="preserve"> – notify the CFTC of :</w:t>
      </w:r>
    </w:p>
    <w:p>
      <w:pPr>
        <w:pStyle w:val="Normal"/>
        <w:numPr>
          <w:ilvl w:val="1"/>
          <w:numId w:val="3"/>
        </w:numPr>
        <w:rPr/>
      </w:pPr>
      <w:r>
        <w:rPr/>
        <w:t>The listing of new contracts for trading,</w:t>
      </w:r>
    </w:p>
    <w:p>
      <w:pPr>
        <w:pStyle w:val="Normal"/>
        <w:numPr>
          <w:ilvl w:val="1"/>
          <w:numId w:val="3"/>
        </w:numPr>
        <w:rPr/>
      </w:pPr>
      <w:r>
        <w:rPr/>
        <w:t>New or revised terms and conditions or rules,</w:t>
      </w:r>
    </w:p>
    <w:p>
      <w:pPr>
        <w:pStyle w:val="Normal"/>
        <w:numPr>
          <w:ilvl w:val="1"/>
          <w:numId w:val="3"/>
        </w:numPr>
        <w:rPr/>
      </w:pPr>
      <w:r>
        <w:rPr/>
        <w:t>Posting of new product descriptions, or</w:t>
      </w:r>
    </w:p>
    <w:p>
      <w:pPr>
        <w:pStyle w:val="Normal"/>
        <w:numPr>
          <w:ilvl w:val="1"/>
          <w:numId w:val="3"/>
        </w:numPr>
        <w:rPr/>
      </w:pPr>
      <w:r>
        <w:rPr/>
        <w:t>Providing new system functionality.</w:t>
      </w:r>
    </w:p>
    <w:p>
      <w:pPr>
        <w:pStyle w:val="Normal"/>
        <w:numPr>
          <w:ilvl w:val="0"/>
          <w:numId w:val="3"/>
        </w:numPr>
        <w:rPr/>
      </w:pPr>
      <w:r>
        <w:rPr>
          <w:u w:val="single"/>
        </w:rPr>
        <w:t>Identify participants</w:t>
      </w:r>
      <w:r>
        <w:rPr/>
        <w:t xml:space="preserve"> – keep permanent records of the true name, address and principal occupation or business of and foreign trader and the name of any person guaranteeing the transactions of such person.</w:t>
      </w:r>
    </w:p>
    <w:p>
      <w:pPr>
        <w:pStyle w:val="Normal"/>
        <w:numPr>
          <w:ilvl w:val="0"/>
          <w:numId w:val="3"/>
        </w:numPr>
        <w:rPr/>
      </w:pPr>
      <w:r>
        <w:rPr>
          <w:u w:val="single"/>
        </w:rPr>
        <w:t>Identify persons subject to fitness</w:t>
      </w:r>
      <w:r>
        <w:rPr/>
        <w:t xml:space="preserve"> – furnish the CFTC on request a list of the persons subject to the fitness requirements of the DTF.</w:t>
      </w:r>
    </w:p>
    <w:p>
      <w:pPr>
        <w:pStyle w:val="Normal"/>
        <w:numPr>
          <w:ilvl w:val="0"/>
          <w:numId w:val="3"/>
        </w:numPr>
        <w:rPr>
          <w:u w:val="single"/>
        </w:rPr>
      </w:pPr>
      <w:r>
        <w:rPr>
          <w:u w:val="single"/>
        </w:rPr>
        <w:t>Disclosure to CFTC</w:t>
      </w:r>
      <w:r>
        <w:rPr/>
        <w:t xml:space="preserve"> – provide the CFTC with information concerning its business as a DTF on request.</w:t>
      </w:r>
    </w:p>
    <w:p>
      <w:pPr>
        <w:pStyle w:val="Normal"/>
        <w:numPr>
          <w:ilvl w:val="0"/>
          <w:numId w:val="3"/>
        </w:numPr>
        <w:rPr>
          <w:u w:val="single"/>
        </w:rPr>
      </w:pPr>
      <w:r>
        <w:rPr>
          <w:u w:val="single"/>
        </w:rPr>
        <w:t>Foreign participant notifications</w:t>
      </w:r>
      <w:r>
        <w:rPr/>
        <w:t xml:space="preserve"> – deliver CFTC notices to foreign participants and deny access if the CFTC believes such participant has not complied with CFTC notice.</w:t>
      </w:r>
    </w:p>
    <w:p>
      <w:pPr>
        <w:pStyle w:val="Normal"/>
        <w:numPr>
          <w:ilvl w:val="0"/>
          <w:numId w:val="3"/>
        </w:numPr>
        <w:rPr>
          <w:u w:val="single"/>
        </w:rPr>
      </w:pPr>
      <w:r>
        <w:rPr>
          <w:u w:val="single"/>
        </w:rPr>
        <w:t>Participant disclosures</w:t>
      </w:r>
      <w:r>
        <w:rPr/>
        <w:t xml:space="preserve"> – participants must provide the CFTC with information requested concerning contracts, agreements, transactions entered into on the DTF and related positions.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3">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abstractNum w:abstractNumId="4">
    <w:lvl w:ilvl="0">
      <w:start w:val="1"/>
      <w:numFmt w:val="decimal"/>
      <w:lvlText w:val="%1."/>
      <w:lvlJc w:val="start"/>
      <w:pPr>
        <w:tabs>
          <w:tab w:val="num" w:pos="1080"/>
        </w:tabs>
        <w:ind w:start="1080" w:hanging="360"/>
      </w:pPr>
    </w:lvl>
    <w:lvl w:ilvl="1">
      <w:start w:val="1"/>
      <w:numFmt w:val="lowerLetter"/>
      <w:lvlText w:val="%2."/>
      <w:lvlJc w:val="start"/>
      <w:pPr>
        <w:tabs>
          <w:tab w:val="num" w:pos="1800"/>
        </w:tabs>
        <w:ind w:start="1800" w:hanging="360"/>
      </w:pPr>
    </w:lvl>
    <w:lvl w:ilvl="2">
      <w:start w:val="1"/>
      <w:numFmt w:val="lowerRoman"/>
      <w:lvlText w:val="%3."/>
      <w:lvlJc w:val="end"/>
      <w:pPr>
        <w:tabs>
          <w:tab w:val="num" w:pos="2520"/>
        </w:tabs>
        <w:ind w:start="2520" w:hanging="180"/>
      </w:pPr>
    </w:lvl>
    <w:lvl w:ilvl="3">
      <w:start w:val="1"/>
      <w:numFmt w:val="decimal"/>
      <w:lvlText w:val="%4."/>
      <w:lvlJc w:val="start"/>
      <w:pPr>
        <w:tabs>
          <w:tab w:val="num" w:pos="3240"/>
        </w:tabs>
        <w:ind w:start="3240" w:hanging="360"/>
      </w:pPr>
    </w:lvl>
    <w:lvl w:ilvl="4">
      <w:start w:val="1"/>
      <w:numFmt w:val="lowerLetter"/>
      <w:lvlText w:val="%5."/>
      <w:lvlJc w:val="start"/>
      <w:pPr>
        <w:tabs>
          <w:tab w:val="num" w:pos="3960"/>
        </w:tabs>
        <w:ind w:start="3960" w:hanging="360"/>
      </w:pPr>
    </w:lvl>
    <w:lvl w:ilvl="5">
      <w:start w:val="1"/>
      <w:numFmt w:val="lowerRoman"/>
      <w:lvlText w:val="%6."/>
      <w:lvlJc w:val="end"/>
      <w:pPr>
        <w:tabs>
          <w:tab w:val="num" w:pos="4680"/>
        </w:tabs>
        <w:ind w:start="4680" w:hanging="180"/>
      </w:pPr>
    </w:lvl>
    <w:lvl w:ilvl="6">
      <w:start w:val="1"/>
      <w:numFmt w:val="decimal"/>
      <w:lvlText w:val="%7."/>
      <w:lvlJc w:val="start"/>
      <w:pPr>
        <w:tabs>
          <w:tab w:val="num" w:pos="5400"/>
        </w:tabs>
        <w:ind w:start="5400" w:hanging="360"/>
      </w:pPr>
    </w:lvl>
    <w:lvl w:ilvl="7">
      <w:start w:val="1"/>
      <w:numFmt w:val="lowerLetter"/>
      <w:lvlText w:val="%8."/>
      <w:lvlJc w:val="start"/>
      <w:pPr>
        <w:tabs>
          <w:tab w:val="num" w:pos="6120"/>
        </w:tabs>
        <w:ind w:start="6120" w:hanging="360"/>
      </w:pPr>
    </w:lvl>
    <w:lvl w:ilvl="8">
      <w:start w:val="1"/>
      <w:numFmt w:val="lowerRoman"/>
      <w:lvlText w:val="%9."/>
      <w:lvlJc w:val="end"/>
      <w:pPr>
        <w:tabs>
          <w:tab w:val="num" w:pos="6840"/>
        </w:tabs>
        <w:ind w:start="6840" w:hanging="18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character" w:styleId="DefaultParagraphFont">
    <w:name w:val="Default Paragraph Font"/>
    <w:qFormat/>
    <w:rPr/>
  </w:style>
  <w:style w:type="paragraph" w:styleId="Heading">
    <w:name w:val="Heading"/>
    <w:basedOn w:val="Normal"/>
    <w:next w:val="BodyText"/>
    <w:qFormat/>
    <w:pPr>
      <w:jc w:val="center"/>
    </w:pPr>
    <w:rPr>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2000-11-25T16:37:00Z</dcterms:created>
  <dc:creator>mtaylo1</dc:creator>
  <dc:description/>
  <dc:language>en-CA</dc:language>
  <cp:lastModifiedBy>mtaylo1</cp:lastModifiedBy>
  <dcterms:modified xsi:type="dcterms:W3CDTF">2000-11-25T19:26:00Z</dcterms:modified>
  <cp:revision>1</cp:revision>
  <dc:subject/>
  <dc:title>Requirements for DTF Status</dc:title>
</cp:coreProperties>
</file>