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rPr>
      </w:pPr>
      <w:r>
        <w:object w:dxaOrig="5224"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0.8pt;margin-top:-50.4pt;width:122.4pt;height:41.8pt;mso-wrap-distance-left:9.05pt;mso-wrap-distance-right:9.05pt;mso-position-horizontal-relative:text;mso-position-vertical-relative:text" filled="f" o:ole="">
            <v:imagedata r:id="rId3" o:title=""/>
            <w10:wrap type="topAndBottom"/>
          </v:shape>
          <o:OLEObject Type="Embed" ProgID="" ShapeID="ole_rId2" DrawAspect="Content" ObjectID="_1846378796" r:id="rId2"/>
        </w:object>
      </w:r>
      <w:r>
        <w:rPr>
          <w:sz w:val="20"/>
        </w:rPr>
        <w:t>Michael C. Green</w:t>
      </w:r>
    </w:p>
    <w:p>
      <w:pPr>
        <w:pStyle w:val="Normal"/>
        <w:jc w:val="both"/>
        <w:rPr>
          <w:sz w:val="20"/>
        </w:rPr>
      </w:pPr>
      <w:r>
        <w:rPr>
          <w:sz w:val="20"/>
        </w:rPr>
        <w:t>Vice President &amp; General Manager</w:t>
      </w:r>
    </w:p>
    <w:p>
      <w:pPr>
        <w:pStyle w:val="Normal"/>
        <w:jc w:val="both"/>
        <w:rPr>
          <w:sz w:val="20"/>
        </w:rPr>
      </w:pPr>
      <w:r>
        <w:rPr>
          <w:sz w:val="20"/>
        </w:rPr>
        <w:t>Florida and Southeast</w:t>
      </w:r>
    </w:p>
    <w:p>
      <w:pPr>
        <w:pStyle w:val="Normal"/>
        <w:rPr>
          <w:sz w:val="20"/>
        </w:rPr>
      </w:pPr>
      <w:r>
        <w:rPr>
          <w:sz w:val="20"/>
        </w:rPr>
      </w:r>
    </w:p>
    <w:p>
      <w:pPr>
        <w:pStyle w:val="Normal"/>
        <w:rPr/>
      </w:pPr>
      <w:r>
        <w:rPr/>
      </w:r>
    </w:p>
    <w:p>
      <w:pPr>
        <w:pStyle w:val="Normal"/>
        <w:rPr/>
      </w:pPr>
      <w:r>
        <w:rPr/>
      </w:r>
    </w:p>
    <w:p>
      <w:pPr>
        <w:pStyle w:val="Normal"/>
        <w:rPr/>
      </w:pPr>
      <w:r>
        <w:rPr/>
        <w:t>April 16, 2001</w:t>
      </w:r>
    </w:p>
    <w:p>
      <w:pPr>
        <w:pStyle w:val="Normal"/>
        <w:rPr/>
      </w:pPr>
      <w:r>
        <w:rPr/>
      </w:r>
    </w:p>
    <w:p>
      <w:pPr>
        <w:pStyle w:val="Normal"/>
        <w:rPr/>
      </w:pPr>
      <w:r>
        <w:rPr/>
        <w:t>Hon. Skip Campbell, Chairman of Senate Regulated Industries Comm.</w:t>
      </w:r>
    </w:p>
    <w:p>
      <w:pPr>
        <w:pStyle w:val="Normal"/>
        <w:rPr/>
      </w:pPr>
      <w:r>
        <w:rPr/>
        <w:t>Hon. Jeff Miller, Chairman of House Utilities and Telecommunications Comm.</w:t>
      </w:r>
    </w:p>
    <w:p>
      <w:pPr>
        <w:pStyle w:val="Normal"/>
        <w:rPr/>
      </w:pPr>
      <w:r>
        <w:rPr/>
      </w:r>
    </w:p>
    <w:p>
      <w:pPr>
        <w:pStyle w:val="Normal"/>
        <w:rPr/>
      </w:pPr>
      <w:r>
        <w:rPr/>
        <w:t>Dear Chairman Campbell and Chairman Miller:</w:t>
      </w:r>
    </w:p>
    <w:p>
      <w:pPr>
        <w:pStyle w:val="Normal"/>
        <w:rPr/>
      </w:pPr>
      <w:r>
        <w:rPr/>
      </w:r>
    </w:p>
    <w:p>
      <w:pPr>
        <w:pStyle w:val="Normal"/>
        <w:rPr/>
      </w:pPr>
      <w:r>
        <w:rPr/>
        <w:t>What are the smart, safe assumptions about growth and the quality of life in Florida? Where is the “smart money” being bet on Florida’s future? What kinds of industry will we attract, and what quality of life will we offer the men and women who make up our growing, changing workforce?</w:t>
      </w:r>
    </w:p>
    <w:p>
      <w:pPr>
        <w:pStyle w:val="Normal"/>
        <w:rPr/>
      </w:pPr>
      <w:r>
        <w:rPr/>
      </w:r>
    </w:p>
    <w:p>
      <w:pPr>
        <w:pStyle w:val="Normal"/>
        <w:rPr/>
      </w:pPr>
      <w:r>
        <w:rPr/>
        <w:t>There are no good answers for these questions if we do not avail ourselves of all viable options to satisfy Florida’s growing energy needs. It is ironic that in a year where energy shortages and “energy crises” are the daily headlines in other parts of the country, the fourth largest state, with one of the more aggressive anticipated growth rates, may pass up a crucial opportunity to establish a more secure energy future.</w:t>
      </w:r>
    </w:p>
    <w:p>
      <w:pPr>
        <w:pStyle w:val="Normal"/>
        <w:rPr/>
      </w:pPr>
      <w:r>
        <w:rPr/>
      </w:r>
    </w:p>
    <w:p>
      <w:pPr>
        <w:pStyle w:val="Normal"/>
        <w:rPr/>
      </w:pPr>
      <w:r>
        <w:rPr/>
        <w:t xml:space="preserve">Florida must ACT NOW if we are to avoid the crippling energy shortages and out-of-control price spikes like those being experienced in California. Some have said Florida is not in imminent danger today, and therefore no action is needed. However, what they have failed to say is taking no action today clearly puts us in more jeopardy of repeating a California crisis. You only have to look at the growing frequency of interruptions the past several years to see that the shortages are real in Florida.  </w:t>
      </w:r>
    </w:p>
    <w:p>
      <w:pPr>
        <w:pStyle w:val="Normal"/>
        <w:rPr/>
      </w:pPr>
      <w:r>
        <w:rPr/>
      </w:r>
    </w:p>
    <w:p>
      <w:pPr>
        <w:pStyle w:val="Normal"/>
        <w:rPr/>
      </w:pPr>
      <w:r>
        <w:rPr/>
        <w:t>Relatively minor action taken NOW can ensure enough electric generating plants are built to satisfy Florida’s growing demand … without burdening Florida citizens with the huge capital costs inherent with needed generation.</w:t>
      </w:r>
    </w:p>
    <w:p>
      <w:pPr>
        <w:pStyle w:val="Normal"/>
        <w:rPr/>
      </w:pPr>
      <w:r>
        <w:rPr/>
      </w:r>
    </w:p>
    <w:p>
      <w:pPr>
        <w:pStyle w:val="Normal"/>
        <w:rPr/>
      </w:pPr>
      <w:r>
        <w:rPr/>
        <w:t>What is that action?  Florida can eliminate the restriction that currently exists and permit independent power producers to build combined cycle wholesale power plants. A simple redefinition of what constitutes an “applicant” in the state’s Power Plant Siting Act can go a long way to alleviating a potential future crisis.</w:t>
      </w:r>
    </w:p>
    <w:p>
      <w:pPr>
        <w:pStyle w:val="Normal"/>
        <w:rPr/>
      </w:pPr>
      <w:r>
        <w:rPr/>
      </w:r>
    </w:p>
    <w:p>
      <w:pPr>
        <w:pStyle w:val="Normal"/>
        <w:rPr/>
      </w:pPr>
      <w:r>
        <w:rPr/>
        <w:t xml:space="preserve">Florida’s Energy 2020 Study Commission’s interim recommendations provide a good road map, but Florida requires decisive legislative action to get us down the road. </w:t>
      </w:r>
    </w:p>
    <w:p>
      <w:pPr>
        <w:pStyle w:val="Normal"/>
        <w:rPr/>
      </w:pPr>
      <w:r>
        <w:rPr/>
        <w:t>It was made clear by Governor Bush that “</w:t>
      </w:r>
      <w:r>
        <w:rPr>
          <w:i/>
        </w:rPr>
        <w:t>no action was not an option for Florida</w:t>
      </w:r>
      <w:r>
        <w:rPr/>
        <w:t xml:space="preserve">.”  Unfortunately, it appears increasingly likely that no action will be taken this year. </w:t>
      </w:r>
    </w:p>
    <w:p>
      <w:pPr>
        <w:pStyle w:val="Normal"/>
        <w:rPr/>
      </w:pPr>
      <w:r>
        <w:rPr/>
      </w:r>
    </w:p>
    <w:p>
      <w:pPr>
        <w:pStyle w:val="Normal"/>
        <w:rPr/>
      </w:pPr>
      <w:r>
        <w:rPr/>
        <w:t xml:space="preserve">The first milestone for Florida is to remove the barriers to merchant plants in Florida’s markets. Why is this desirable? </w:t>
      </w:r>
    </w:p>
    <w:p>
      <w:pPr>
        <w:pStyle w:val="Normal"/>
        <w:rPr/>
      </w:pPr>
      <w:r>
        <w:rPr/>
      </w:r>
    </w:p>
    <w:p>
      <w:pPr>
        <w:pStyle w:val="Normal"/>
        <w:numPr>
          <w:ilvl w:val="0"/>
          <w:numId w:val="3"/>
        </w:numPr>
        <w:rPr/>
      </w:pPr>
      <w:r>
        <w:rPr/>
        <w:t xml:space="preserve">Because power plants take years to permit and build.  Unless the barriers to merchant plants are removed THIS YEAR, merchant plants CANNOT BE BUILT IN TIME to cover a very possible shortage.  Florida has a huge and growing need for new electric generation.  The Public Service Commission estimates 11,000 megawatts of new generation will be needed this decade, and many believe that forecast – which is based on slower population and economic growth – is badly underestimated.  If growth in electricity demand continues at the same pace as the last 10 years, and Florida utilities build only what is currently planned, the state will face serious supply shortages as early as 2004. </w:t>
      </w:r>
    </w:p>
    <w:p>
      <w:pPr>
        <w:pStyle w:val="Normal"/>
        <w:rPr/>
      </w:pPr>
      <w:r>
        <w:rPr/>
      </w:r>
    </w:p>
    <w:p>
      <w:pPr>
        <w:pStyle w:val="Normal"/>
        <w:numPr>
          <w:ilvl w:val="0"/>
          <w:numId w:val="4"/>
        </w:numPr>
        <w:rPr/>
      </w:pPr>
      <w:r>
        <w:rPr/>
        <w:t xml:space="preserve">Because responsibility for financing expensive power plants is shifted away from consumers to shareholders if merchant plants are allowed. Under Florida’s current regulatory structure, the cost to build the additional power plants (just to cover the need over the next eight years) will cost the consumers at least </w:t>
      </w:r>
      <w:r>
        <w:rPr>
          <w:b/>
        </w:rPr>
        <w:t>five BILLION dollars</w:t>
      </w:r>
      <w:r>
        <w:rPr/>
        <w:t xml:space="preserve">. Investors, </w:t>
      </w:r>
      <w:r>
        <w:rPr>
          <w:u w:val="single"/>
        </w:rPr>
        <w:t>not consumers</w:t>
      </w:r>
      <w:r>
        <w:rPr/>
        <w:t>, finance merchant plants. More plants are better than less plants when there is uncertainty in forecasting demand … especially when your constituents do not bear the financial risk.</w:t>
      </w:r>
    </w:p>
    <w:p>
      <w:pPr>
        <w:pStyle w:val="Normal"/>
        <w:rPr/>
      </w:pPr>
      <w:r>
        <w:rPr/>
      </w:r>
    </w:p>
    <w:p>
      <w:pPr>
        <w:pStyle w:val="Normal"/>
        <w:numPr>
          <w:ilvl w:val="0"/>
          <w:numId w:val="4"/>
        </w:numPr>
        <w:rPr/>
      </w:pPr>
      <w:r>
        <w:rPr/>
        <w:t xml:space="preserve">Because Florida is the </w:t>
      </w:r>
      <w:r>
        <w:rPr>
          <w:u w:val="single"/>
        </w:rPr>
        <w:t>only</w:t>
      </w:r>
      <w:r>
        <w:rPr/>
        <w:t xml:space="preserve"> state in the country with statutory restrictions on merchant power. There are no statutory limitations on merchant plants being built and operated in 42 other states. </w:t>
      </w:r>
    </w:p>
    <w:p>
      <w:pPr>
        <w:pStyle w:val="Normal"/>
        <w:rPr/>
      </w:pPr>
      <w:r>
        <w:rPr/>
      </w:r>
    </w:p>
    <w:p>
      <w:pPr>
        <w:pStyle w:val="Normal"/>
        <w:rPr/>
      </w:pPr>
      <w:r>
        <w:rPr/>
        <w:t xml:space="preserve">It has been four years since Duke Energy North America came to Florida to be part of the solution to Florida’s energy needs. Early on, Duke and the City of New Smyrna Beach proposed to build a clean, efficient, state-of-the-art merchant generation facility to serve both the city and Florida. Incumbent utilities, however, found a roadblock in a 1972 law that the Florida Supreme Court has interpreted to prohibit the most efficient combined cycle merchant plants. </w:t>
      </w:r>
    </w:p>
    <w:p>
      <w:pPr>
        <w:pStyle w:val="Normal"/>
        <w:rPr/>
      </w:pPr>
      <w:r>
        <w:rPr/>
      </w:r>
    </w:p>
    <w:p>
      <w:pPr>
        <w:pStyle w:val="Normal"/>
        <w:rPr/>
      </w:pPr>
      <w:r>
        <w:rPr/>
        <w:t xml:space="preserve">I remind you, without adding unnecessary commentary, that the same incumbent companies that have worked so hard to block merchant generation for Florida’s consumers are busily developing merchant generation in 20 other states. Clearly, once we remove the issue of “turf,” we all agree: Florida’s current law prohibiting merchant generation is not in the best interest of Floridians. This prohibition is an unintended consequence of a 29 year-old law, and it </w:t>
      </w:r>
      <w:r>
        <w:rPr>
          <w:i/>
        </w:rPr>
        <w:t>can</w:t>
      </w:r>
      <w:r>
        <w:rPr/>
        <w:t xml:space="preserve"> and </w:t>
      </w:r>
      <w:r>
        <w:rPr>
          <w:i/>
        </w:rPr>
        <w:t>should</w:t>
      </w:r>
      <w:r>
        <w:rPr/>
        <w:t xml:space="preserve"> be changed – this year.</w:t>
      </w:r>
    </w:p>
    <w:p>
      <w:pPr>
        <w:pStyle w:val="Normal"/>
        <w:rPr/>
      </w:pPr>
      <w:r>
        <w:rPr/>
      </w:r>
    </w:p>
    <w:p>
      <w:pPr>
        <w:pStyle w:val="Normal"/>
        <w:rPr/>
      </w:pPr>
      <w:r>
        <w:rPr/>
        <w:t>It is clear that both houses of the Florida Legislature are losing momentum on this issue.  Yet, in the past five weeks of House and Senate Committees, there has indeed been some testimony expressing concern relative to how (or even if) the investor owned utilities’ generation should come out of rate base. Yet no one has testified that Florida should continue to prohibit merchant plants. I urge you not to let such issues stall your progress of removing the barriers to developing “no cost” merchant plants that can save Florida from a potential California crisis. Your constituents need your leadership to make this first step happen.</w:t>
      </w:r>
    </w:p>
    <w:p>
      <w:pPr>
        <w:pStyle w:val="Normal"/>
        <w:rPr/>
      </w:pPr>
      <w:r>
        <w:rPr/>
      </w:r>
    </w:p>
    <w:p>
      <w:pPr>
        <w:pStyle w:val="Normal"/>
        <w:rPr/>
      </w:pPr>
      <w:r>
        <w:rPr/>
        <w:t xml:space="preserve">Some parties are trying to create in the minds of legislators a “linkage” between merchant generation and more complicated questions regarding how and when existing incumbent generation should be removed from utilities’ rate bases. Please note on the attached table how very few states have encouraged investor owned generation to be taken out of rate base prior to development of merchant generation.  Texas has been held up as a successful model. Texas encouraged merchant plants in 1995, while the incumbent utility generation is scheduled to come out of rate base this year – seven years later. The questions of rate base generation are usually resolved when the state considers retail competition, NOT during wholesale “restructuring” discussions. </w:t>
      </w:r>
    </w:p>
    <w:p>
      <w:pPr>
        <w:pStyle w:val="Normal"/>
        <w:rPr/>
      </w:pPr>
      <w:r>
        <w:rPr/>
      </w:r>
    </w:p>
    <w:p>
      <w:pPr>
        <w:pStyle w:val="Normal"/>
        <w:rPr/>
      </w:pPr>
      <w:r>
        <w:rPr/>
        <w:t>Support for removing the barriers to merchant power is broad-based.  Let me highlight some of the supporters of merchant generation:</w:t>
      </w:r>
    </w:p>
    <w:p>
      <w:pPr>
        <w:pStyle w:val="Normal"/>
        <w:rPr/>
      </w:pPr>
      <w:r>
        <w:rPr/>
      </w:r>
    </w:p>
    <w:p>
      <w:pPr>
        <w:pStyle w:val="Normal"/>
        <w:numPr>
          <w:ilvl w:val="0"/>
          <w:numId w:val="6"/>
        </w:numPr>
        <w:rPr/>
      </w:pPr>
      <w:r>
        <w:rPr>
          <w:b/>
        </w:rPr>
        <w:t>The Public Service Commission</w:t>
      </w:r>
      <w:r>
        <w:rPr/>
        <w:t xml:space="preserve">  -- Chairman Jacobs testified the PSC has “questions” about taking utility plants from the rate base, yet he “</w:t>
      </w:r>
      <w:r>
        <w:rPr>
          <w:i/>
        </w:rPr>
        <w:t>cannot document any concerns with merchant plants being allowed in Florida</w:t>
      </w:r>
      <w:r>
        <w:rPr/>
        <w:t>;”</w:t>
      </w:r>
    </w:p>
    <w:p>
      <w:pPr>
        <w:pStyle w:val="Normal"/>
        <w:numPr>
          <w:ilvl w:val="0"/>
          <w:numId w:val="6"/>
        </w:numPr>
        <w:rPr/>
      </w:pPr>
      <w:r>
        <w:rPr>
          <w:b/>
        </w:rPr>
        <w:t>AARP</w:t>
      </w:r>
      <w:r>
        <w:rPr/>
        <w:t xml:space="preserve"> – testified on several occasions that it is not in favor of retail competition, but “</w:t>
      </w:r>
      <w:r>
        <w:rPr>
          <w:i/>
        </w:rPr>
        <w:t>supports the concept of merchant plants being built;</w:t>
      </w:r>
      <w:r>
        <w:rPr/>
        <w:t xml:space="preserve">” </w:t>
      </w:r>
    </w:p>
    <w:p>
      <w:pPr>
        <w:pStyle w:val="Normal"/>
        <w:numPr>
          <w:ilvl w:val="0"/>
          <w:numId w:val="6"/>
        </w:numPr>
        <w:rPr/>
      </w:pPr>
      <w:r>
        <w:rPr>
          <w:b/>
        </w:rPr>
        <w:t>Municipal utilities across the state</w:t>
      </w:r>
      <w:r>
        <w:rPr/>
        <w:t xml:space="preserve"> – again, concerns expressed about how, and if, incumbent utilities’ generation should come out of rate base, but “</w:t>
      </w:r>
      <w:r>
        <w:rPr>
          <w:i/>
        </w:rPr>
        <w:t>support removing the barriers that currently exist relative to merchant plants;</w:t>
      </w:r>
      <w:r>
        <w:rPr/>
        <w:t>”</w:t>
      </w:r>
    </w:p>
    <w:p>
      <w:pPr>
        <w:pStyle w:val="Normal"/>
        <w:numPr>
          <w:ilvl w:val="0"/>
          <w:numId w:val="6"/>
        </w:numPr>
        <w:rPr/>
      </w:pPr>
      <w:r>
        <w:rPr>
          <w:b/>
        </w:rPr>
        <w:t>Economic Development Leaders</w:t>
      </w:r>
      <w:r>
        <w:rPr/>
        <w:t xml:space="preserve"> across the state clearly see the link between quality economic growth and the inclusion of merchant plants in a sound energy policy for Florida;</w:t>
      </w:r>
    </w:p>
    <w:p>
      <w:pPr>
        <w:pStyle w:val="Normal"/>
        <w:numPr>
          <w:ilvl w:val="0"/>
          <w:numId w:val="6"/>
        </w:numPr>
        <w:rPr/>
      </w:pPr>
      <w:r>
        <w:rPr>
          <w:b/>
        </w:rPr>
        <w:t>ALERT</w:t>
      </w:r>
      <w:r>
        <w:rPr/>
        <w:t xml:space="preserve"> -- representing grocery chains, hotels, large energy users such as Ameristeel and phosphate mines and many other industries, supports merchant plants because they could stave off future interruptions;</w:t>
      </w:r>
    </w:p>
    <w:p>
      <w:pPr>
        <w:pStyle w:val="Normal"/>
        <w:numPr>
          <w:ilvl w:val="0"/>
          <w:numId w:val="6"/>
        </w:numPr>
        <w:rPr/>
      </w:pPr>
      <w:r>
        <w:rPr>
          <w:b/>
        </w:rPr>
        <w:t>Environmental groups</w:t>
      </w:r>
      <w:r>
        <w:rPr/>
        <w:t xml:space="preserve"> such as </w:t>
      </w:r>
      <w:r>
        <w:rPr>
          <w:b/>
        </w:rPr>
        <w:t>LEAF</w:t>
      </w:r>
      <w:r>
        <w:rPr/>
        <w:t xml:space="preserve"> and the </w:t>
      </w:r>
      <w:r>
        <w:rPr>
          <w:b/>
        </w:rPr>
        <w:t>Volusia County Sierra Club</w:t>
      </w:r>
      <w:r>
        <w:rPr/>
        <w:t xml:space="preserve"> – specifically endorsed the New Smyrna Beach project;</w:t>
      </w:r>
    </w:p>
    <w:p>
      <w:pPr>
        <w:pStyle w:val="Normal"/>
        <w:numPr>
          <w:ilvl w:val="0"/>
          <w:numId w:val="6"/>
        </w:numPr>
        <w:rPr/>
      </w:pPr>
      <w:r>
        <w:rPr>
          <w:b/>
        </w:rPr>
        <w:t xml:space="preserve">The Retail Federation of Florida; The Restaurant Association of Florida </w:t>
      </w:r>
      <w:r>
        <w:rPr/>
        <w:t>– the list goes on;</w:t>
      </w:r>
    </w:p>
    <w:p>
      <w:pPr>
        <w:pStyle w:val="Normal"/>
        <w:numPr>
          <w:ilvl w:val="0"/>
          <w:numId w:val="6"/>
        </w:numPr>
        <w:rPr/>
      </w:pPr>
      <w:r>
        <w:rPr>
          <w:b/>
        </w:rPr>
        <w:t xml:space="preserve">Statewide newspaper editorial boards </w:t>
      </w:r>
      <w:r>
        <w:rPr/>
        <w:t xml:space="preserve">have also weighed in with their support for removing the unintended limitation on merchant plants: </w:t>
      </w:r>
    </w:p>
    <w:p>
      <w:pPr>
        <w:pStyle w:val="Normal"/>
        <w:numPr>
          <w:ilvl w:val="0"/>
          <w:numId w:val="6"/>
        </w:numPr>
        <w:ind w:hanging="360" w:start="720" w:end="0"/>
        <w:rPr>
          <w:b/>
        </w:rPr>
      </w:pPr>
      <w:r>
        <w:rPr>
          <w:b/>
        </w:rPr>
        <w:t>Ft. Lauderdale Sun-Sentinel</w:t>
      </w:r>
    </w:p>
    <w:p>
      <w:pPr>
        <w:pStyle w:val="Normal"/>
        <w:numPr>
          <w:ilvl w:val="0"/>
          <w:numId w:val="6"/>
        </w:numPr>
        <w:ind w:hanging="360" w:start="720" w:end="0"/>
        <w:rPr>
          <w:b/>
        </w:rPr>
      </w:pPr>
      <w:r>
        <w:rPr>
          <w:b/>
        </w:rPr>
        <w:t>The Palm Beach Post</w:t>
      </w:r>
    </w:p>
    <w:p>
      <w:pPr>
        <w:pStyle w:val="Normal"/>
        <w:numPr>
          <w:ilvl w:val="0"/>
          <w:numId w:val="6"/>
        </w:numPr>
        <w:ind w:hanging="360" w:start="720" w:end="0"/>
        <w:rPr>
          <w:b/>
        </w:rPr>
      </w:pPr>
      <w:r>
        <w:rPr>
          <w:b/>
        </w:rPr>
        <w:t>Miami Herald</w:t>
      </w:r>
    </w:p>
    <w:p>
      <w:pPr>
        <w:pStyle w:val="Normal"/>
        <w:numPr>
          <w:ilvl w:val="0"/>
          <w:numId w:val="6"/>
        </w:numPr>
        <w:ind w:hanging="360" w:start="720" w:end="0"/>
        <w:rPr>
          <w:b/>
        </w:rPr>
      </w:pPr>
      <w:r>
        <w:rPr>
          <w:b/>
        </w:rPr>
        <w:t>St. Petersburg Times</w:t>
      </w:r>
    </w:p>
    <w:p>
      <w:pPr>
        <w:pStyle w:val="Normal"/>
        <w:numPr>
          <w:ilvl w:val="0"/>
          <w:numId w:val="6"/>
        </w:numPr>
        <w:ind w:hanging="360" w:start="720" w:end="0"/>
        <w:rPr>
          <w:b/>
        </w:rPr>
      </w:pPr>
      <w:r>
        <w:rPr>
          <w:b/>
        </w:rPr>
        <w:t>Daytona Beach News-Journal</w:t>
      </w:r>
    </w:p>
    <w:p>
      <w:pPr>
        <w:pStyle w:val="Normal"/>
        <w:numPr>
          <w:ilvl w:val="0"/>
          <w:numId w:val="6"/>
        </w:numPr>
        <w:ind w:hanging="360" w:start="720" w:end="0"/>
        <w:rPr>
          <w:b/>
        </w:rPr>
      </w:pPr>
      <w:r>
        <w:rPr>
          <w:b/>
        </w:rPr>
        <w:t>Florida Times-Union (Jacksonville)</w:t>
      </w:r>
    </w:p>
    <w:p>
      <w:pPr>
        <w:pStyle w:val="Normal"/>
        <w:numPr>
          <w:ilvl w:val="0"/>
          <w:numId w:val="6"/>
        </w:numPr>
        <w:ind w:hanging="360" w:start="720" w:end="0"/>
        <w:rPr>
          <w:b/>
        </w:rPr>
      </w:pPr>
      <w:r>
        <w:rPr>
          <w:b/>
        </w:rPr>
        <w:t>Lakeland Ledger</w:t>
      </w:r>
    </w:p>
    <w:p>
      <w:pPr>
        <w:pStyle w:val="Normal"/>
        <w:numPr>
          <w:ilvl w:val="0"/>
          <w:numId w:val="6"/>
        </w:numPr>
        <w:ind w:hanging="360" w:start="720" w:end="0"/>
        <w:rPr>
          <w:b/>
        </w:rPr>
      </w:pPr>
      <w:r>
        <w:rPr>
          <w:b/>
        </w:rPr>
        <w:t>Vero Beach Press Journal</w:t>
      </w:r>
    </w:p>
    <w:p>
      <w:pPr>
        <w:pStyle w:val="Normal"/>
        <w:numPr>
          <w:ilvl w:val="0"/>
          <w:numId w:val="6"/>
        </w:numPr>
        <w:ind w:hanging="360" w:start="720" w:end="0"/>
        <w:rPr>
          <w:b/>
        </w:rPr>
      </w:pPr>
      <w:r>
        <w:rPr>
          <w:b/>
        </w:rPr>
        <w:t>New Smyrna Beach Observer</w:t>
      </w:r>
    </w:p>
    <w:p>
      <w:pPr>
        <w:pStyle w:val="Normal"/>
        <w:rPr>
          <w:b/>
        </w:rPr>
      </w:pPr>
      <w:r>
        <w:rPr>
          <w:b/>
        </w:rPr>
      </w:r>
    </w:p>
    <w:p>
      <w:pPr>
        <w:pStyle w:val="Normal"/>
        <w:rPr/>
      </w:pPr>
      <w:r>
        <w:rPr/>
        <w:t xml:space="preserve">And if you review the annual reports of Florida Power &amp; Light, Progress Energy, Tampa Electric and Gulf Power, you will see that they too support merchant plants. The benefits their affiliates bring to the twenty states in which they build merchant plants are available to Florida as well. </w:t>
      </w:r>
    </w:p>
    <w:p>
      <w:pPr>
        <w:pStyle w:val="Normal"/>
        <w:rPr/>
      </w:pPr>
      <w:r>
        <w:rPr/>
      </w:r>
    </w:p>
    <w:p>
      <w:pPr>
        <w:pStyle w:val="Normal"/>
        <w:rPr/>
      </w:pPr>
      <w:r>
        <w:rPr/>
        <w:t xml:space="preserve">There is broad support for merchant generation among virtually all categories of constituents. We have debated these issues for more than three years. I have gained great respect for your leadership and I am encouraging everyone involved to look beyond political pressures and turf battles to the good, sound public policy that enjoys broad support: take immediate steps to remove the unintended limitations of merchant power to Florida. Such a first step will deliver benefits across the board to your constituents. </w:t>
      </w:r>
    </w:p>
    <w:p>
      <w:pPr>
        <w:pStyle w:val="Normal"/>
        <w:rPr/>
      </w:pPr>
      <w:r>
        <w:rPr/>
      </w:r>
    </w:p>
    <w:p>
      <w:pPr>
        <w:pStyle w:val="Normal"/>
        <w:rPr/>
      </w:pPr>
      <w:r>
        <w:rPr/>
        <w:t>Duke Energy North America stands ready to be part of the solution to the energy needs of Florida. Thank you for your leadership.</w:t>
      </w:r>
    </w:p>
    <w:p>
      <w:pPr>
        <w:pStyle w:val="Normal"/>
        <w:rPr/>
      </w:pPr>
      <w:r>
        <w:rPr/>
      </w:r>
    </w:p>
    <w:p>
      <w:pPr>
        <w:pStyle w:val="Normal"/>
        <w:rPr/>
      </w:pPr>
      <w:r>
        <w:rPr/>
        <w:t>Sincerely,</w:t>
      </w:r>
    </w:p>
    <w:p>
      <w:pPr>
        <w:pStyle w:val="Normal"/>
        <w:rPr/>
      </w:pPr>
      <w:r>
        <w:rPr/>
      </w:r>
    </w:p>
    <w:p>
      <w:pPr>
        <w:pStyle w:val="Normal"/>
        <w:rPr/>
      </w:pPr>
      <w:r>
        <w:rPr/>
      </w:r>
    </w:p>
    <w:p>
      <w:pPr>
        <w:pStyle w:val="Normal"/>
        <w:rPr/>
      </w:pPr>
      <w:r>
        <w:rPr/>
        <w:t>Michael C. Green</w:t>
      </w:r>
    </w:p>
    <w:p>
      <w:pPr>
        <w:pStyle w:val="Normal"/>
        <w:rPr/>
      </w:pPr>
      <w:r>
        <w:rPr/>
        <w:t>Vice President &amp; General Manager</w:t>
      </w:r>
    </w:p>
    <w:p>
      <w:pPr>
        <w:pStyle w:val="Normal"/>
        <w:rPr/>
      </w:pPr>
      <w:r>
        <w:rPr/>
        <w:t>Florida and Southeast</w:t>
      </w:r>
    </w:p>
    <w:p>
      <w:pPr>
        <w:pStyle w:val="Normal"/>
        <w:rPr/>
      </w:pPr>
      <w:r>
        <w:rPr/>
        <w:t>Duke Energy North America</w:t>
      </w:r>
    </w:p>
    <w:p>
      <w:pPr>
        <w:pStyle w:val="Normal"/>
        <w:rPr/>
      </w:pPr>
      <w:r>
        <w:rPr/>
      </w:r>
    </w:p>
    <w:p>
      <w:pPr>
        <w:pStyle w:val="Normal"/>
        <w:rPr/>
      </w:pPr>
      <w:r>
        <w:rPr/>
        <w:t>Attachment</w:t>
      </w:r>
    </w:p>
    <w:p>
      <w:pPr>
        <w:pStyle w:val="Normal"/>
        <w:rPr/>
      </w:pPr>
      <w:r>
        <w:rPr/>
        <w:t>cc w/ att.</w:t>
      </w:r>
    </w:p>
    <w:p>
      <w:pPr>
        <w:pStyle w:val="Normal"/>
        <w:ind w:start="720" w:end="0"/>
        <w:rPr/>
      </w:pPr>
      <w:r>
        <w:rPr/>
        <w:t>The Hon. John McKay, Senate President</w:t>
      </w:r>
    </w:p>
    <w:p>
      <w:pPr>
        <w:pStyle w:val="Normal"/>
        <w:ind w:start="720" w:end="0"/>
        <w:rPr/>
      </w:pPr>
      <w:r>
        <w:rPr/>
        <w:t>The Hon. Tom Feeney, Speaker of the House</w:t>
      </w:r>
    </w:p>
    <w:p>
      <w:pPr>
        <w:pStyle w:val="Normal"/>
        <w:ind w:start="720" w:end="0"/>
        <w:rPr/>
      </w:pPr>
      <w:r>
        <w:rPr/>
        <w:t>Members of Senate Regulated Industries Committee</w:t>
      </w:r>
    </w:p>
    <w:p>
      <w:pPr>
        <w:pStyle w:val="Normal"/>
        <w:ind w:start="720" w:end="0"/>
        <w:rPr/>
      </w:pPr>
      <w:r>
        <w:rPr/>
        <w:t>Members of House Utilities and Telecommunications Committee</w:t>
      </w:r>
    </w:p>
    <w:p>
      <w:pPr>
        <w:pStyle w:val="Normal"/>
        <w:ind w:start="720" w:end="0"/>
        <w:rPr/>
      </w:pPr>
      <w:r>
        <w:rPr/>
        <w:t>Hon. Jeb Bush, Governor of Florida</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ootlight MT Light">
    <w:altName w:val="Book Antiqu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Garmond (W1)">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0" allowOverlap="1" relativeHeight="2">
              <wp:simplePos x="0" y="0"/>
              <wp:positionH relativeFrom="page">
                <wp:posOffset>5578475</wp:posOffset>
              </wp:positionH>
              <wp:positionV relativeFrom="page">
                <wp:posOffset>366395</wp:posOffset>
              </wp:positionV>
              <wp:extent cx="2129155" cy="1445895"/>
              <wp:effectExtent l="0" t="0" r="0" b="0"/>
              <wp:wrapSquare wrapText="bothSides"/>
              <wp:docPr id="1" name="Frame1"/>
              <a:graphic xmlns:a="http://schemas.openxmlformats.org/drawingml/2006/main">
                <a:graphicData uri="http://schemas.microsoft.com/office/word/2010/wordprocessingShape">
                  <wps:wsp>
                    <wps:cNvSpPr txBox="1"/>
                    <wps:spPr>
                      <a:xfrm>
                        <a:off x="0" y="0"/>
                        <a:ext cx="2129155" cy="1445895"/>
                      </a:xfrm>
                      <a:prstGeom prst="rect"/>
                      <a:solidFill>
                        <a:srgbClr val="FFFFFF">
                          <a:alpha val="0"/>
                        </a:srgbClr>
                      </a:solidFill>
                    </wps:spPr>
                    <wps:txbx>
                      <w:txbxContent>
                        <w:p>
                          <w:pPr>
                            <w:pStyle w:val="Normal"/>
                            <w:rPr>
                              <w:rFonts w:ascii="Garmond (W1)" w:hAnsi="Garmond (W1)" w:cs="Garmond (W1)"/>
                              <w:sz w:val="18"/>
                            </w:rPr>
                          </w:pPr>
                          <w:r>
                            <w:rPr>
                              <w:rFonts w:cs="Garmond (W1)" w:ascii="Garmond (W1)" w:hAnsi="Garmond (W1)"/>
                              <w:sz w:val="18"/>
                            </w:rPr>
                            <w:t xml:space="preserve">Duke Energy </w:t>
                          </w:r>
                        </w:p>
                        <w:p>
                          <w:pPr>
                            <w:pStyle w:val="Normal"/>
                            <w:rPr>
                              <w:rFonts w:ascii="Garmond (W1)" w:hAnsi="Garmond (W1)" w:cs="Garmond (W1)"/>
                              <w:i/>
                              <w:i/>
                              <w:sz w:val="18"/>
                            </w:rPr>
                          </w:pPr>
                          <w:r>
                            <w:rPr>
                              <w:rFonts w:cs="Garmond (W1)" w:ascii="Garmond (W1)" w:hAnsi="Garmond (W1)"/>
                              <w:i/>
                              <w:sz w:val="18"/>
                            </w:rPr>
                            <w:t>North America,LLC</w:t>
                          </w:r>
                        </w:p>
                        <w:p>
                          <w:pPr>
                            <w:pStyle w:val="Normal"/>
                            <w:rPr>
                              <w:rFonts w:ascii="Garmond (W1)" w:hAnsi="Garmond (W1)" w:cs="Garmond (W1)"/>
                              <w:sz w:val="18"/>
                            </w:rPr>
                          </w:pPr>
                          <w:r>
                            <w:rPr>
                              <w:rFonts w:cs="Garmond (W1)" w:ascii="Garmond (W1)" w:hAnsi="Garmond (W1)"/>
                              <w:sz w:val="18"/>
                            </w:rPr>
                            <w:t>725 Primera Boulevard</w:t>
                          </w:r>
                        </w:p>
                        <w:p>
                          <w:pPr>
                            <w:pStyle w:val="Normal"/>
                            <w:rPr>
                              <w:rFonts w:ascii="Garmond (W1)" w:hAnsi="Garmond (W1)" w:cs="Garmond (W1)"/>
                              <w:sz w:val="18"/>
                            </w:rPr>
                          </w:pPr>
                          <w:r>
                            <w:rPr>
                              <w:rFonts w:cs="Garmond (W1)" w:ascii="Garmond (W1)" w:hAnsi="Garmond (W1)"/>
                              <w:sz w:val="18"/>
                            </w:rPr>
                            <w:t>Suite 200</w:t>
                          </w:r>
                        </w:p>
                        <w:p>
                          <w:pPr>
                            <w:pStyle w:val="Normal"/>
                            <w:rPr>
                              <w:rFonts w:ascii="Garmond (W1)" w:hAnsi="Garmond (W1)" w:cs="Garmond (W1)"/>
                              <w:sz w:val="18"/>
                            </w:rPr>
                          </w:pPr>
                          <w:r>
                            <w:rPr>
                              <w:rFonts w:cs="Garmond (W1)" w:ascii="Garmond (W1)" w:hAnsi="Garmond (W1)"/>
                              <w:sz w:val="18"/>
                            </w:rPr>
                            <w:t>Lake Mary, FL 32746</w:t>
                          </w:r>
                        </w:p>
                        <w:p>
                          <w:pPr>
                            <w:pStyle w:val="Normal"/>
                            <w:rPr>
                              <w:rFonts w:ascii="Garmond (W1)" w:hAnsi="Garmond (W1)" w:cs="Garmond (W1)"/>
                              <w:sz w:val="18"/>
                            </w:rPr>
                          </w:pPr>
                          <w:r>
                            <w:rPr>
                              <w:rFonts w:cs="Garmond (W1)" w:ascii="Garmond (W1)" w:hAnsi="Garmond (W1)"/>
                              <w:sz w:val="18"/>
                            </w:rPr>
                          </w:r>
                        </w:p>
                        <w:p>
                          <w:pPr>
                            <w:pStyle w:val="Normal"/>
                            <w:rPr>
                              <w:rFonts w:ascii="Garmond (W1)" w:hAnsi="Garmond (W1)" w:cs="Garmond (W1)"/>
                              <w:i/>
                              <w:i/>
                              <w:sz w:val="18"/>
                            </w:rPr>
                          </w:pPr>
                          <w:r>
                            <w:rPr>
                              <w:rFonts w:cs="Garmond (W1)" w:ascii="Garmond (W1)" w:hAnsi="Garmond (W1)"/>
                              <w:i/>
                              <w:sz w:val="18"/>
                            </w:rPr>
                            <w:t>(407) 804-2641 OFFICE</w:t>
                          </w:r>
                        </w:p>
                        <w:p>
                          <w:pPr>
                            <w:pStyle w:val="Normal"/>
                            <w:rPr>
                              <w:rFonts w:ascii="Garmond (W1)" w:hAnsi="Garmond (W1)" w:cs="Garmond (W1)"/>
                              <w:i/>
                              <w:i/>
                              <w:sz w:val="18"/>
                            </w:rPr>
                          </w:pPr>
                          <w:r>
                            <w:rPr>
                              <w:rFonts w:cs="Garmond (W1)" w:ascii="Garmond (W1)" w:hAnsi="Garmond (W1)"/>
                              <w:i/>
                              <w:sz w:val="18"/>
                            </w:rPr>
                            <w:t>(407) 829-8577 FAX</w:t>
                          </w:r>
                        </w:p>
                        <w:p>
                          <w:pPr>
                            <w:pStyle w:val="Normal"/>
                            <w:rPr>
                              <w:rFonts w:ascii="Garmond (W1)" w:hAnsi="Garmond (W1)" w:cs="Garmond (W1)"/>
                              <w:i/>
                              <w:i/>
                              <w:sz w:val="18"/>
                            </w:rPr>
                          </w:pPr>
                          <w:r>
                            <w:rPr>
                              <w:rFonts w:cs="Garmond (W1)" w:ascii="Garmond (W1)" w:hAnsi="Garmond (W1)"/>
                              <w:i/>
                              <w:sz w:val="18"/>
                            </w:rPr>
                          </w:r>
                        </w:p>
                        <w:p>
                          <w:pPr>
                            <w:pStyle w:val="Normal"/>
                            <w:rPr>
                              <w:rFonts w:ascii="Garmond (W1)" w:hAnsi="Garmond (W1)" w:cs="Garmond (W1)"/>
                              <w:i/>
                              <w:i/>
                              <w:sz w:val="18"/>
                            </w:rPr>
                          </w:pPr>
                          <w:r>
                            <w:rPr>
                              <w:rFonts w:cs="Garmond (W1)" w:ascii="Garmond (W1)" w:hAnsi="Garmond (W1)"/>
                              <w:i/>
                              <w:sz w:val="18"/>
                            </w:rPr>
                            <w:t>mgreen@duke-energy.com</w:t>
                          </w:r>
                        </w:p>
                        <w:p>
                          <w:pPr>
                            <w:pStyle w:val="Normal"/>
                            <w:rPr>
                              <w:rFonts w:ascii="Garmond (W1)" w:hAnsi="Garmond (W1)" w:cs="Garmond (W1)"/>
                              <w:i/>
                              <w:i/>
                              <w:sz w:val="18"/>
                            </w:rPr>
                          </w:pPr>
                          <w:r>
                            <w:rPr>
                              <w:rFonts w:cs="Garmond (W1)" w:ascii="Garmond (W1)" w:hAnsi="Garmond (W1)"/>
                              <w:i/>
                              <w:sz w:val="18"/>
                            </w:rPr>
                          </w:r>
                        </w:p>
                      </w:txbxContent>
                    </wps:txbx>
                    <wps:bodyPr anchor="t" lIns="0" tIns="0" rIns="0" bIns="0">
                      <a:noAutofit/>
                    </wps:bodyPr>
                  </wps:wsp>
                </a:graphicData>
              </a:graphic>
            </wp:anchor>
          </w:drawing>
        </mc:Choice>
        <mc:Fallback>
          <w:pict>
            <v:rect fillcolor="#FFFFFF" style="position:absolute;rotation:-0;width:167.65pt;height:113.85pt;mso-wrap-distance-left:9pt;mso-wrap-distance-right:9pt;mso-wrap-distance-top:0pt;mso-wrap-distance-bottom:0pt;margin-top:28.85pt;mso-position-vertical-relative:page;margin-left:439.25pt;mso-position-horizontal-relative:page">
              <v:fill opacity="0f"/>
              <v:textbox inset="0in,0in,0in,0in">
                <w:txbxContent>
                  <w:p>
                    <w:pPr>
                      <w:pStyle w:val="Normal"/>
                      <w:rPr>
                        <w:rFonts w:ascii="Garmond (W1)" w:hAnsi="Garmond (W1)" w:cs="Garmond (W1)"/>
                        <w:sz w:val="18"/>
                      </w:rPr>
                    </w:pPr>
                    <w:r>
                      <w:rPr>
                        <w:rFonts w:cs="Garmond (W1)" w:ascii="Garmond (W1)" w:hAnsi="Garmond (W1)"/>
                        <w:sz w:val="18"/>
                      </w:rPr>
                      <w:t xml:space="preserve">Duke Energy </w:t>
                    </w:r>
                  </w:p>
                  <w:p>
                    <w:pPr>
                      <w:pStyle w:val="Normal"/>
                      <w:rPr>
                        <w:rFonts w:ascii="Garmond (W1)" w:hAnsi="Garmond (W1)" w:cs="Garmond (W1)"/>
                        <w:i/>
                        <w:i/>
                        <w:sz w:val="18"/>
                      </w:rPr>
                    </w:pPr>
                    <w:r>
                      <w:rPr>
                        <w:rFonts w:cs="Garmond (W1)" w:ascii="Garmond (W1)" w:hAnsi="Garmond (W1)"/>
                        <w:i/>
                        <w:sz w:val="18"/>
                      </w:rPr>
                      <w:t>North America,LLC</w:t>
                    </w:r>
                  </w:p>
                  <w:p>
                    <w:pPr>
                      <w:pStyle w:val="Normal"/>
                      <w:rPr>
                        <w:rFonts w:ascii="Garmond (W1)" w:hAnsi="Garmond (W1)" w:cs="Garmond (W1)"/>
                        <w:sz w:val="18"/>
                      </w:rPr>
                    </w:pPr>
                    <w:r>
                      <w:rPr>
                        <w:rFonts w:cs="Garmond (W1)" w:ascii="Garmond (W1)" w:hAnsi="Garmond (W1)"/>
                        <w:sz w:val="18"/>
                      </w:rPr>
                      <w:t>725 Primera Boulevard</w:t>
                    </w:r>
                  </w:p>
                  <w:p>
                    <w:pPr>
                      <w:pStyle w:val="Normal"/>
                      <w:rPr>
                        <w:rFonts w:ascii="Garmond (W1)" w:hAnsi="Garmond (W1)" w:cs="Garmond (W1)"/>
                        <w:sz w:val="18"/>
                      </w:rPr>
                    </w:pPr>
                    <w:r>
                      <w:rPr>
                        <w:rFonts w:cs="Garmond (W1)" w:ascii="Garmond (W1)" w:hAnsi="Garmond (W1)"/>
                        <w:sz w:val="18"/>
                      </w:rPr>
                      <w:t>Suite 200</w:t>
                    </w:r>
                  </w:p>
                  <w:p>
                    <w:pPr>
                      <w:pStyle w:val="Normal"/>
                      <w:rPr>
                        <w:rFonts w:ascii="Garmond (W1)" w:hAnsi="Garmond (W1)" w:cs="Garmond (W1)"/>
                        <w:sz w:val="18"/>
                      </w:rPr>
                    </w:pPr>
                    <w:r>
                      <w:rPr>
                        <w:rFonts w:cs="Garmond (W1)" w:ascii="Garmond (W1)" w:hAnsi="Garmond (W1)"/>
                        <w:sz w:val="18"/>
                      </w:rPr>
                      <w:t>Lake Mary, FL 32746</w:t>
                    </w:r>
                  </w:p>
                  <w:p>
                    <w:pPr>
                      <w:pStyle w:val="Normal"/>
                      <w:rPr>
                        <w:rFonts w:ascii="Garmond (W1)" w:hAnsi="Garmond (W1)" w:cs="Garmond (W1)"/>
                        <w:sz w:val="18"/>
                      </w:rPr>
                    </w:pPr>
                    <w:r>
                      <w:rPr>
                        <w:rFonts w:cs="Garmond (W1)" w:ascii="Garmond (W1)" w:hAnsi="Garmond (W1)"/>
                        <w:sz w:val="18"/>
                      </w:rPr>
                    </w:r>
                  </w:p>
                  <w:p>
                    <w:pPr>
                      <w:pStyle w:val="Normal"/>
                      <w:rPr>
                        <w:rFonts w:ascii="Garmond (W1)" w:hAnsi="Garmond (W1)" w:cs="Garmond (W1)"/>
                        <w:i/>
                        <w:i/>
                        <w:sz w:val="18"/>
                      </w:rPr>
                    </w:pPr>
                    <w:r>
                      <w:rPr>
                        <w:rFonts w:cs="Garmond (W1)" w:ascii="Garmond (W1)" w:hAnsi="Garmond (W1)"/>
                        <w:i/>
                        <w:sz w:val="18"/>
                      </w:rPr>
                      <w:t>(407) 804-2641 OFFICE</w:t>
                    </w:r>
                  </w:p>
                  <w:p>
                    <w:pPr>
                      <w:pStyle w:val="Normal"/>
                      <w:rPr>
                        <w:rFonts w:ascii="Garmond (W1)" w:hAnsi="Garmond (W1)" w:cs="Garmond (W1)"/>
                        <w:i/>
                        <w:i/>
                        <w:sz w:val="18"/>
                      </w:rPr>
                    </w:pPr>
                    <w:r>
                      <w:rPr>
                        <w:rFonts w:cs="Garmond (W1)" w:ascii="Garmond (W1)" w:hAnsi="Garmond (W1)"/>
                        <w:i/>
                        <w:sz w:val="18"/>
                      </w:rPr>
                      <w:t>(407) 829-8577 FAX</w:t>
                    </w:r>
                  </w:p>
                  <w:p>
                    <w:pPr>
                      <w:pStyle w:val="Normal"/>
                      <w:rPr>
                        <w:rFonts w:ascii="Garmond (W1)" w:hAnsi="Garmond (W1)" w:cs="Garmond (W1)"/>
                        <w:i/>
                        <w:i/>
                        <w:sz w:val="18"/>
                      </w:rPr>
                    </w:pPr>
                    <w:r>
                      <w:rPr>
                        <w:rFonts w:cs="Garmond (W1)" w:ascii="Garmond (W1)" w:hAnsi="Garmond (W1)"/>
                        <w:i/>
                        <w:sz w:val="18"/>
                      </w:rPr>
                    </w:r>
                  </w:p>
                  <w:p>
                    <w:pPr>
                      <w:pStyle w:val="Normal"/>
                      <w:rPr>
                        <w:rFonts w:ascii="Garmond (W1)" w:hAnsi="Garmond (W1)" w:cs="Garmond (W1)"/>
                        <w:i/>
                        <w:i/>
                        <w:sz w:val="18"/>
                      </w:rPr>
                    </w:pPr>
                    <w:r>
                      <w:rPr>
                        <w:rFonts w:cs="Garmond (W1)" w:ascii="Garmond (W1)" w:hAnsi="Garmond (W1)"/>
                        <w:i/>
                        <w:sz w:val="18"/>
                      </w:rPr>
                      <w:t>mgreen@duke-energy.com</w:t>
                    </w:r>
                  </w:p>
                  <w:p>
                    <w:pPr>
                      <w:pStyle w:val="Normal"/>
                      <w:rPr>
                        <w:rFonts w:ascii="Garmond (W1)" w:hAnsi="Garmond (W1)" w:cs="Garmond (W1)"/>
                        <w:i/>
                        <w:i/>
                        <w:sz w:val="18"/>
                      </w:rPr>
                    </w:pPr>
                    <w:r>
                      <w:rPr>
                        <w:rFonts w:cs="Garmond (W1)" w:ascii="Garmond (W1)" w:hAnsi="Garmond (W1)"/>
                        <w:i/>
                        <w:sz w:val="18"/>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Footlight MT Light;Book Antiqua" w:hAnsi="Footlight MT Light;Book Antiqua" w:eastAsia="Times New Roman" w:cs="Footlight MT Light;Book Antiqua"/>
      <w:color w:val="auto"/>
      <w:sz w:val="24"/>
      <w:szCs w:val="20"/>
      <w:lang w:val="en-US" w:bidi="ar-SA" w:eastAsia="zh-C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rPr>
  </w:style>
  <w:style w:type="paragraph" w:styleId="Heading2">
    <w:name w:val="heading 2"/>
    <w:basedOn w:val="HeadingBase"/>
    <w:next w:val="BodyText"/>
    <w:qFormat/>
    <w:pPr>
      <w:numPr>
        <w:ilvl w:val="1"/>
        <w:numId w:val="1"/>
      </w:numPr>
      <w:spacing w:before="0" w:after="170"/>
      <w:outlineLvl w:val="1"/>
    </w:pPr>
    <w:rPr>
      <w:caps/>
      <w:sz w:val="21"/>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character" w:styleId="WW8Num2z0">
    <w:name w:val="WW8Num2z0"/>
    <w:qFormat/>
    <w:rPr>
      <w:rFonts w:ascii="Symbol" w:hAnsi="Symbol" w:cs="Symbol"/>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sz w:val="16"/>
    </w:rPr>
  </w:style>
  <w:style w:type="character" w:styleId="DefaultParagraphFont">
    <w:name w:val="Default Paragraph Font"/>
    <w:qFormat/>
    <w:rPr/>
  </w:style>
  <w:style w:type="character" w:styleId="Emphasis">
    <w:name w:val="Emphasis"/>
    <w:qFormat/>
    <w:rPr>
      <w:caps/>
      <w:sz w:val="18"/>
    </w:rPr>
  </w:style>
  <w:style w:type="character" w:styleId="Slogan">
    <w:name w:val="Slogan"/>
    <w:basedOn w:val="DefaultParagraphFont"/>
    <w:qFormat/>
    <w:rPr>
      <w:i/>
      <w:spacing w:val="7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InsideAddress">
    <w:name w:val="Inside Address"/>
    <w:basedOn w:val="Normal"/>
    <w:qFormat/>
    <w:pPr>
      <w:spacing w:lineRule="atLeast" w:line="240"/>
    </w:pPr>
    <w:rPr/>
  </w:style>
  <w:style w:type="paragraph" w:styleId="InsideAddressName">
    <w:name w:val="Inside Address Name"/>
    <w:basedOn w:val="InsideAddress"/>
    <w:next w:val="InsideAddress"/>
    <w:qFormat/>
    <w:pPr>
      <w:spacing w:before="220" w:after="0"/>
    </w:pPr>
    <w:rPr/>
  </w:style>
  <w:style w:type="paragraph" w:styleId="Salutation">
    <w:name w:val="Salutation"/>
    <w:basedOn w:val="Normal"/>
    <w:next w:val="SubjectLine"/>
    <w:qFormat/>
    <w:pPr>
      <w:spacing w:lineRule="atLeast" w:line="240" w:before="240" w:after="240"/>
      <w:jc w:val="start"/>
    </w:pPr>
    <w:rPr/>
  </w:style>
  <w:style w:type="paragraph" w:styleId="Date">
    <w:name w:val="Date"/>
    <w:basedOn w:val="Normal"/>
    <w:next w:val="InsideAddressName"/>
    <w:qFormat/>
    <w:pPr>
      <w:spacing w:before="0" w:after="220"/>
    </w:pPr>
    <w:rPr/>
  </w:style>
  <w:style w:type="paragraph" w:styleId="Closing">
    <w:name w:val="Closing"/>
    <w:basedOn w:val="Normal"/>
    <w:next w:val="Signature"/>
    <w:qFormat/>
    <w:pPr>
      <w:keepNext w:val="true"/>
      <w:spacing w:lineRule="atLeast" w:line="240" w:before="0" w:after="120"/>
    </w:pPr>
    <w:rPr/>
  </w:style>
  <w:style w:type="paragraph" w:styleId="Signature">
    <w:name w:val="Signature"/>
    <w:basedOn w:val="Normal"/>
    <w:next w:val="SignatureJobTitle"/>
    <w:pPr>
      <w:keepNext w:val="true"/>
      <w:spacing w:lineRule="atLeast" w:line="240" w:before="880" w:after="0"/>
    </w:pPr>
    <w:rPr/>
  </w:style>
  <w:style w:type="paragraph" w:styleId="AttentionLine">
    <w:name w:val="Attention Line"/>
    <w:basedOn w:val="Normal"/>
    <w:next w:val="Salutation"/>
    <w:qFormat/>
    <w:pPr>
      <w:spacing w:lineRule="atLeast" w:line="240" w:before="220" w:after="0"/>
    </w:pPr>
    <w:rPr/>
  </w:style>
  <w:style w:type="paragraph" w:styleId="CcList">
    <w:name w:val="Cc List"/>
    <w:basedOn w:val="Normal"/>
    <w:qFormat/>
    <w:pPr>
      <w:keepLines/>
      <w:spacing w:lineRule="atLeast" w:line="240"/>
      <w:ind w:hanging="360" w:start="360" w:end="0"/>
    </w:pPr>
    <w:rPr/>
  </w:style>
  <w:style w:type="paragraph" w:styleId="CompanyName">
    <w:name w:val="Company Name"/>
    <w:basedOn w:val="BodyText"/>
    <w:next w:val="Date"/>
    <w:qFormat/>
    <w:pPr>
      <w:keepLines/>
      <w:spacing w:before="0" w:after="40"/>
      <w:ind w:hanging="0" w:start="0" w:end="0"/>
      <w:jc w:val="center"/>
    </w:pPr>
    <w:rPr>
      <w:caps/>
      <w:spacing w:val="75"/>
      <w:sz w:val="21"/>
    </w:rPr>
  </w:style>
  <w:style w:type="paragraph" w:styleId="Enclosure">
    <w:name w:val="Enclosure"/>
    <w:basedOn w:val="Normal"/>
    <w:next w:val="CcList"/>
    <w:qFormat/>
    <w:pPr>
      <w:keepNext w:val="true"/>
      <w:keepLines/>
      <w:spacing w:lineRule="atLeast" w:line="240" w:before="120" w:after="12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5"/>
      </w:numPr>
      <w:ind w:hanging="360" w:start="720" w:end="720"/>
    </w:pPr>
    <w:rPr/>
  </w:style>
  <w:style w:type="paragraph" w:styleId="ListNumber">
    <w:name w:val="List Number"/>
    <w:basedOn w:val="List"/>
    <w:qFormat/>
    <w:pPr>
      <w:numPr>
        <w:ilvl w:val="0"/>
        <w:numId w:val="2"/>
      </w:numPr>
      <w:ind w:hanging="360" w:start="720" w:end="720"/>
    </w:pPr>
    <w:rPr/>
  </w:style>
  <w:style w:type="paragraph" w:styleId="EnvelopeReturn">
    <w:name w:val="envelope return"/>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Duke Energy Letterhead</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2001-04-18T17:27:00Z</dcterms:created>
  <dc:creator>Duke Power Company</dc:creator>
  <dc:description/>
  <dc:language>en-CA</dc:language>
  <cp:lastModifiedBy>Sally Adams</cp:lastModifiedBy>
  <cp:lastPrinted>2001-04-18T15:20:00Z</cp:lastPrinted>
  <dcterms:modified xsi:type="dcterms:W3CDTF">2001-04-18T17:27:00Z</dcterms:modified>
  <cp:revision>2</cp:revision>
  <dc:subject/>
  <dc:title>May 10, 2000</dc:title>
</cp:coreProperties>
</file>