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883" w:type="dxa"/>
        <w:jc w:val="start"/>
        <w:tblInd w:w="200" w:type="dxa"/>
        <w:tblLayout w:type="fixed"/>
        <w:tblCellMar>
          <w:top w:w="0" w:type="dxa"/>
          <w:start w:w="108" w:type="dxa"/>
          <w:bottom w:w="0" w:type="dxa"/>
          <w:end w:w="108" w:type="dxa"/>
        </w:tblCellMar>
      </w:tblPr>
      <w:tblGrid>
        <w:gridCol w:w="808"/>
        <w:gridCol w:w="5940"/>
        <w:gridCol w:w="1170"/>
        <w:gridCol w:w="2965"/>
      </w:tblGrid>
      <w:tr>
        <w:trPr/>
        <w:tc>
          <w:tcPr>
            <w:tcW w:w="808" w:type="dxa"/>
            <w:tcBorders/>
          </w:tcPr>
          <w:p>
            <w:pPr>
              <w:pStyle w:val="Normal"/>
              <w:spacing w:before="0" w:after="240"/>
              <w:ind w:start="-180" w:end="0"/>
              <w:jc w:val="end"/>
              <w:rPr>
                <w:b/>
                <w:bCs/>
                <w:sz w:val="16"/>
              </w:rPr>
            </w:pPr>
            <w:r>
              <w:rPr>
                <w:b/>
                <w:bCs/>
                <w:sz w:val="16"/>
              </w:rPr>
              <w:t>To:</w:t>
            </w:r>
          </w:p>
        </w:tc>
        <w:tc>
          <w:tcPr>
            <w:tcW w:w="5940" w:type="dxa"/>
            <w:tcBorders/>
          </w:tcPr>
          <w:p>
            <w:pPr>
              <w:pStyle w:val="To"/>
              <w:spacing w:before="0" w:after="240"/>
              <w:rPr/>
            </w:pPr>
            <w:r>
              <w:rPr/>
              <w:t>Distribution</w:t>
            </w:r>
          </w:p>
        </w:tc>
        <w:tc>
          <w:tcPr>
            <w:tcW w:w="1170" w:type="dxa"/>
            <w:tcBorders/>
          </w:tcPr>
          <w:p>
            <w:pPr>
              <w:pStyle w:val="Normal"/>
              <w:snapToGrid w:val="false"/>
              <w:spacing w:before="0" w:after="240"/>
              <w:ind w:start="-393" w:end="0"/>
              <w:rPr>
                <w:b/>
                <w:bCs/>
              </w:rPr>
            </w:pPr>
            <w:r>
              <w:rPr>
                <w:b/>
                <w:bCs/>
              </w:rPr>
            </w:r>
          </w:p>
        </w:tc>
        <w:tc>
          <w:tcPr>
            <w:tcW w:w="2965" w:type="dxa"/>
            <w:tcBorders/>
          </w:tcPr>
          <w:p>
            <w:pPr>
              <w:pStyle w:val="Normal"/>
              <w:snapToGrid w:val="false"/>
              <w:spacing w:before="0" w:after="240"/>
              <w:rPr>
                <w:b/>
                <w:bCs/>
              </w:rPr>
            </w:pPr>
            <w:r>
              <w:rPr>
                <w:b/>
                <w:bCs/>
              </w:rPr>
            </w:r>
          </w:p>
        </w:tc>
      </w:tr>
      <w:tr>
        <w:trPr/>
        <w:tc>
          <w:tcPr>
            <w:tcW w:w="808" w:type="dxa"/>
            <w:tcBorders/>
          </w:tcPr>
          <w:p>
            <w:pPr>
              <w:pStyle w:val="Normal"/>
              <w:spacing w:before="0" w:after="240"/>
              <w:ind w:start="-180" w:end="0"/>
              <w:jc w:val="end"/>
              <w:rPr>
                <w:b/>
                <w:bCs/>
                <w:sz w:val="16"/>
              </w:rPr>
            </w:pPr>
            <w:r>
              <w:rPr>
                <w:b/>
                <w:bCs/>
                <w:sz w:val="16"/>
              </w:rPr>
              <w:t>From:</w:t>
            </w:r>
          </w:p>
        </w:tc>
        <w:tc>
          <w:tcPr>
            <w:tcW w:w="5940" w:type="dxa"/>
            <w:tcBorders/>
          </w:tcPr>
          <w:p>
            <w:pPr>
              <w:pStyle w:val="From"/>
              <w:spacing w:before="0" w:after="240"/>
              <w:rPr/>
            </w:pPr>
            <w:r>
              <w:rPr/>
              <w:t>Rebecca W. Cantrell</w:t>
            </w:r>
          </w:p>
        </w:tc>
        <w:tc>
          <w:tcPr>
            <w:tcW w:w="1170" w:type="dxa"/>
            <w:tcBorders/>
          </w:tcPr>
          <w:p>
            <w:pPr>
              <w:pStyle w:val="Normal"/>
              <w:spacing w:before="0" w:after="240"/>
              <w:ind w:start="-393" w:end="0"/>
              <w:jc w:val="end"/>
              <w:rPr>
                <w:b/>
                <w:bCs/>
                <w:sz w:val="16"/>
              </w:rPr>
            </w:pPr>
            <w:r>
              <w:rPr>
                <w:b/>
                <w:bCs/>
                <w:sz w:val="16"/>
              </w:rPr>
              <w:t>Department:</w:t>
            </w:r>
          </w:p>
        </w:tc>
        <w:tc>
          <w:tcPr>
            <w:tcW w:w="2965" w:type="dxa"/>
            <w:tcBorders/>
          </w:tcPr>
          <w:p>
            <w:pPr>
              <w:pStyle w:val="Department"/>
              <w:spacing w:before="0" w:after="240"/>
              <w:rPr/>
            </w:pPr>
            <w:bookmarkStart w:id="0" w:name="From"/>
            <w:bookmarkEnd w:id="0"/>
            <w:r>
              <w:rPr/>
              <w:t>Government Affairs</w:t>
            </w:r>
          </w:p>
        </w:tc>
      </w:tr>
      <w:tr>
        <w:trPr/>
        <w:tc>
          <w:tcPr>
            <w:tcW w:w="808" w:type="dxa"/>
            <w:tcBorders/>
          </w:tcPr>
          <w:p>
            <w:pPr>
              <w:pStyle w:val="Normal"/>
              <w:spacing w:before="0" w:after="240"/>
              <w:ind w:start="-180" w:end="0"/>
              <w:jc w:val="end"/>
              <w:rPr>
                <w:b/>
                <w:bCs/>
                <w:sz w:val="16"/>
              </w:rPr>
            </w:pPr>
            <w:r>
              <w:rPr>
                <w:b/>
                <w:bCs/>
                <w:sz w:val="16"/>
              </w:rPr>
              <w:t>Subject:</w:t>
            </w:r>
          </w:p>
        </w:tc>
        <w:tc>
          <w:tcPr>
            <w:tcW w:w="5940" w:type="dxa"/>
            <w:tcBorders/>
          </w:tcPr>
          <w:p>
            <w:pPr>
              <w:pStyle w:val="Subject"/>
              <w:spacing w:before="0" w:after="240"/>
              <w:rPr/>
            </w:pPr>
            <w:r>
              <w:rPr/>
              <w:t>El Paso Technical Conference; July 18-19, 2001</w:t>
              <w:br/>
              <w:t>RP00-336, System Wide Capacity Reallocation</w:t>
            </w:r>
          </w:p>
        </w:tc>
        <w:tc>
          <w:tcPr>
            <w:tcW w:w="1170" w:type="dxa"/>
            <w:tcBorders/>
          </w:tcPr>
          <w:p>
            <w:pPr>
              <w:pStyle w:val="Normal"/>
              <w:spacing w:before="0" w:after="240"/>
              <w:ind w:start="-393" w:end="0"/>
              <w:jc w:val="end"/>
              <w:rPr>
                <w:b/>
                <w:bCs/>
                <w:sz w:val="16"/>
              </w:rPr>
            </w:pPr>
            <w:r>
              <w:rPr>
                <w:b/>
                <w:bCs/>
                <w:sz w:val="16"/>
              </w:rPr>
              <w:t>Date:</w:t>
            </w:r>
          </w:p>
        </w:tc>
        <w:tc>
          <w:tcPr>
            <w:tcW w:w="2965" w:type="dxa"/>
            <w:tcBorders/>
          </w:tcPr>
          <w:p>
            <w:pPr>
              <w:pStyle w:val="Date"/>
              <w:spacing w:before="0" w:after="240"/>
              <w:rPr/>
            </w:pPr>
            <w:r>
              <w:rPr/>
              <w:t>July 23, 2001</w:t>
            </w:r>
          </w:p>
        </w:tc>
      </w:tr>
    </w:tbl>
    <w:p>
      <w:pPr>
        <w:pStyle w:val="Body"/>
        <w:rPr/>
      </w:pPr>
      <w:r>
        <w:rPr/>
      </w:r>
      <w:bookmarkStart w:id="1" w:name="StartOfMemo"/>
      <w:bookmarkStart w:id="2" w:name="StartOfMemo"/>
      <w:bookmarkEnd w:id="2"/>
    </w:p>
    <w:p>
      <w:pPr>
        <w:pStyle w:val="Body"/>
        <w:rPr/>
      </w:pPr>
      <w:r>
        <w:rPr/>
        <w:t>The conference convened at about 10:20 a.m.  Following the usual preliminary introductions of FERC Staff, Bill Healy, VP of Commercial Operations for El Paso, made a presentation that briefly outlined the El Paso proposal for receipt point allocation from their March 28, 2001 filing</w:t>
      </w:r>
      <w:r>
        <w:rPr>
          <w:rStyle w:val="FootnoteCharacters"/>
          <w:rStyle w:val="FootnoteReference"/>
        </w:rPr>
        <w:footnoteReference w:id="2"/>
      </w:r>
      <w:r>
        <w:rPr/>
        <w:t>.  El Paso also provided a handout that identifies the receipt points associated with each of the 20 new pooling areas.</w:t>
      </w:r>
    </w:p>
    <w:p>
      <w:pPr>
        <w:pStyle w:val="Body"/>
        <w:rPr/>
      </w:pPr>
      <w:r>
        <w:rPr/>
      </w:r>
    </w:p>
    <w:p>
      <w:pPr>
        <w:pStyle w:val="Body"/>
        <w:rPr/>
      </w:pPr>
      <w:r>
        <w:rPr/>
        <w:t>Following El Paso’s presentation, Mr. Greg Lander, a consultant with Skipping Stone, made a presentation outlining the analysis underlying the complaint of the Texas, New Mexico and Arizona Shippers, which had been filed the evening before and for which Mr. Lander has also provided testimony.  The complaint alleges that El Paso has deliberately failed to maintain its system so as to be able to continue to meet its customers’ certificated contractual entitlements and thus has violated the provisions of the 1996 settlement that require it to maintain its quality of service and has breached its contractual obligations to existing customers as well as its obligations under the NGA.  The complaint also asks FERC to dedicate the two recently announced expansions (the Daggett-Ehrenberg line and the Line 2000 power-up</w:t>
      </w:r>
      <w:r>
        <w:rPr>
          <w:rStyle w:val="FootnoteCharacters"/>
          <w:rStyle w:val="FootnoteReference"/>
        </w:rPr>
        <w:footnoteReference w:id="3"/>
      </w:r>
      <w:r>
        <w:rPr/>
        <w:t>) for use by existing shippers rather than for new customers.  During the presentation, Mr. Lander also argued that the entire Line 2000 capacity should be used for existing customers, although this is not clear from the complaint.  Mr. Lander stated that the estimated cost of service for these expansions would be about $32 million per year.</w:t>
      </w:r>
    </w:p>
    <w:p>
      <w:pPr>
        <w:pStyle w:val="Body"/>
        <w:rPr/>
      </w:pPr>
      <w:r>
        <w:rPr/>
      </w:r>
    </w:p>
    <w:p>
      <w:pPr>
        <w:pStyle w:val="Body"/>
        <w:rPr/>
      </w:pPr>
      <w:r>
        <w:rPr/>
        <w:t>Salt River Project (SRP) then made a short presentation in which it also argued that El Paso does not have enough capacity to meet its contractual obligations to its firm shippers.  However, SRP, a full-requirements shipper, also argued that the contractual rights of all firm shippers under the 10-year settlement must be honored.  SRP likewise wants Line 2000 and Line 1903 (Daggett-Ehrenberg) to be dedicated to existing shippers, as well as the addition of compression to both lines.  System rates would be adjusted to reflect the increased throughput of the expansions, using the existing cost of service from the 1996 settlement, with no increase in revenues to El Paso.</w:t>
      </w:r>
    </w:p>
    <w:p>
      <w:pPr>
        <w:pStyle w:val="Body"/>
        <w:rPr/>
      </w:pPr>
      <w:r>
        <w:rPr/>
      </w:r>
    </w:p>
    <w:p>
      <w:pPr>
        <w:pStyle w:val="Body"/>
        <w:rPr/>
      </w:pPr>
      <w:r>
        <w:rPr/>
        <w:t>Following all these presentations, the Indicated Shippers (producers) made strong arguments from their complaint filed on Friday, July 13th that FR contracts should be converted to CDs, that El Paso should be ordered to expand its system immediately to meet its existing contractual obligations including existing FR demand, and that El Paso should be prohibited from collecting demand charges where it cannot provide firm service, i.e., demand charge credits.  Indicated Shippers stated that it would be willing to engage in settlement discussions only if they could get a commitment to these principles.  Otherwise, they would pursue their case at FERC.</w:t>
      </w:r>
    </w:p>
    <w:p>
      <w:pPr>
        <w:pStyle w:val="Body"/>
        <w:rPr/>
      </w:pPr>
      <w:r>
        <w:rPr/>
      </w:r>
    </w:p>
    <w:p>
      <w:pPr>
        <w:pStyle w:val="Body"/>
        <w:rPr/>
      </w:pPr>
      <w:r>
        <w:rPr/>
        <w:t>Ingrid Olson from the FERC Office of General Counsel and Bob Petrocelli from the Office of Markets, Tariffs, and Rates lead the FERC panel.  Mr. Petrocelli noted that the scope of the conference was information gathering so that Staff would be able to advise the Commission as to whether to issue an order in the proceeding or go to hearing.</w:t>
      </w:r>
    </w:p>
    <w:p>
      <w:pPr>
        <w:pStyle w:val="Body"/>
        <w:rPr/>
      </w:pPr>
      <w:r>
        <w:rPr/>
      </w:r>
    </w:p>
    <w:p>
      <w:pPr>
        <w:pStyle w:val="Body"/>
        <w:rPr/>
      </w:pPr>
      <w:r>
        <w:rPr/>
        <w:t>Following a break for lunch, Staff started the discussion by stating that they were sensitive to the time frame on the Oneok and KN complaints (regarding east end capacity curtailments) and that they intended to expedite the processing of those proceedings.  Staff is moving forward on an order on the allocation of system-wide capacity, with input from this conference.</w:t>
      </w:r>
    </w:p>
    <w:p>
      <w:pPr>
        <w:pStyle w:val="Body"/>
        <w:rPr/>
      </w:pPr>
      <w:r>
        <w:rPr/>
      </w:r>
    </w:p>
    <w:p>
      <w:pPr>
        <w:pStyle w:val="Body"/>
        <w:rPr/>
      </w:pPr>
      <w:r>
        <w:rPr/>
        <w:t>Mr. Petrocelli’s first technical question related to El Paso’s reason for using the summer capacity of the system to determine the allocations, since the peak is on the winter.  El Paso explained that they proposed to use the summer capacity because then the capacity would be there every day.  If they allocated based on the winter capacity, which is higher, then shippers might not be able to flow their maximum contract amount all year.</w:t>
      </w:r>
    </w:p>
    <w:p>
      <w:pPr>
        <w:pStyle w:val="Body"/>
        <w:rPr/>
      </w:pPr>
      <w:r>
        <w:rPr/>
      </w:r>
    </w:p>
    <w:p>
      <w:pPr>
        <w:pStyle w:val="Body"/>
        <w:rPr/>
      </w:pPr>
      <w:r>
        <w:rPr/>
        <w:t>There then followed an extended discussion of the parties’ problems with knowing exactly how much capacity El Paso would be allocating and how El Paso would determine the rights of the full requirements shippers.  El Paso, with some urging from the Staff, agreed to run some models that would demonstrate what the allocations would look like under certain conditions after all shippers identified their preferred receipt point pools.  In all cases, CD shippers’ allocations would be based on existing contract MDQs.  Full requirements shippers’ allocations would be based on:</w:t>
      </w:r>
    </w:p>
    <w:p>
      <w:pPr>
        <w:pStyle w:val="Body"/>
        <w:rPr/>
      </w:pPr>
      <w:r>
        <w:rPr/>
      </w:r>
    </w:p>
    <w:p>
      <w:pPr>
        <w:pStyle w:val="Body"/>
        <w:numPr>
          <w:ilvl w:val="0"/>
          <w:numId w:val="3"/>
        </w:numPr>
        <w:spacing w:before="0" w:after="120"/>
        <w:rPr/>
      </w:pPr>
      <w:r>
        <w:rPr/>
        <w:t>Billing Determinants</w:t>
      </w:r>
    </w:p>
    <w:p>
      <w:pPr>
        <w:pStyle w:val="Body"/>
        <w:numPr>
          <w:ilvl w:val="0"/>
          <w:numId w:val="3"/>
        </w:numPr>
        <w:spacing w:before="0" w:after="120"/>
        <w:rPr/>
      </w:pPr>
      <w:r>
        <w:rPr/>
        <w:t>Test Period of the RP95-363 Rate Case</w:t>
      </w:r>
    </w:p>
    <w:p>
      <w:pPr>
        <w:pStyle w:val="Body"/>
        <w:numPr>
          <w:ilvl w:val="0"/>
          <w:numId w:val="3"/>
        </w:numPr>
        <w:spacing w:before="0" w:after="120"/>
        <w:rPr/>
      </w:pPr>
      <w:r>
        <w:rPr/>
        <w:t>Peak Usage during the most current 12 months, annualized</w:t>
      </w:r>
    </w:p>
    <w:p>
      <w:pPr>
        <w:pStyle w:val="Body"/>
        <w:numPr>
          <w:ilvl w:val="0"/>
          <w:numId w:val="3"/>
        </w:numPr>
        <w:rPr/>
      </w:pPr>
      <w:r>
        <w:rPr/>
        <w:t>Projected Peak Usage during the remaining 5 years of the 1996 Settlement (Full requirements shippers agreed to provide this figure -- winter/summer seasonal if requested).  This model was later modified at Staff request such that El Paso would run this model with two alternatives:  (a) assuming no limit on capacity and (b) assuming a limit on capacity incorporating the Line 2000 and Daggett-Ehrenberg expansions discussed earlier.</w:t>
      </w:r>
    </w:p>
    <w:p>
      <w:pPr>
        <w:pStyle w:val="Body"/>
        <w:rPr/>
      </w:pPr>
      <w:r>
        <w:rPr/>
      </w:r>
    </w:p>
    <w:p>
      <w:pPr>
        <w:pStyle w:val="Body"/>
        <w:rPr/>
      </w:pPr>
      <w:r>
        <w:rPr/>
        <w:t>After a brief discussion of pooling, the conference adjourned for the evening, with instructions from Staff to come back prepared to discuss proposals to institute OFOs for displacement issues, the SRP suggestions, and the 24 specific questions that Indicated Shipper included in their comments that had not been addressed.</w:t>
      </w:r>
    </w:p>
    <w:p>
      <w:pPr>
        <w:pStyle w:val="Body"/>
        <w:rPr/>
      </w:pPr>
      <w:r>
        <w:rPr/>
      </w:r>
    </w:p>
    <w:p>
      <w:pPr>
        <w:pStyle w:val="Body"/>
        <w:rPr/>
      </w:pPr>
      <w:r>
        <w:rPr/>
        <w:t xml:space="preserve">The conference reconvened Thursday morning at 9:00 a.m.  Mr. Petrocelli began the discussion by discussing pooling.  He asked why El Paso was allocating receipt point capacity only to pools and what would happen if a shipper wanted to select a specific receipt point(s).  El Paso responded that they had not thought about it, and would look at the concept to see if it would work.  Mr. Petrocelli indicated that El Paso should, in their initial comments following the next technical conference, include a discussion of the new allocation methodology.  He also wanted a brief explanation of the pooling points selected and what the logic was of the points that were selected.  El Paso had indicated that the 20 pooling areas were designed to accommodate </w:t>
      </w:r>
      <w:r>
        <w:rPr>
          <w:u w:val="single"/>
        </w:rPr>
        <w:t>potential</w:t>
      </w:r>
      <w:r>
        <w:rPr/>
        <w:t xml:space="preserve"> constraint points.  Indicated Shippers asked for an indication of where there are constraints currently and suggested that El Paso consider fewer pooling areas with a procedure similar to Transwestern’s to handle points that are infrequently constrained.  Parties questioned how El Paso handles balancing the pools during the scheduling process.  El Paso explained that they balance the systems to the receipt points through a computer program, and that software and hardware capacity are not an issue.</w:t>
      </w:r>
    </w:p>
    <w:p>
      <w:pPr>
        <w:pStyle w:val="Body"/>
        <w:rPr/>
      </w:pPr>
      <w:r>
        <w:rPr/>
      </w:r>
    </w:p>
    <w:p>
      <w:pPr>
        <w:pStyle w:val="Body"/>
        <w:rPr/>
      </w:pPr>
      <w:r>
        <w:rPr/>
        <w:t>During further discussion of the impact of increasing the pooling areas, Mr. Petrocelli raised the issue of linear pooling, a proposal in earlier El Paso filings.  Linear pooling means that a specific package of gas can only move through a pool one time and, in El Paso’s earlier filings, they limited the number of pools between the wellhead and the TSA.  Linear pooling reduces liquidity and the flexibility of pool-to-pool transfers because parties must be able to identify where in the chain the gas is for scheduling purposes and this requires some type of tracking mechanism.  It also has the potential to affect the price of the gas, depending on how many times it has been traded.</w:t>
      </w:r>
    </w:p>
    <w:p>
      <w:pPr>
        <w:pStyle w:val="Body"/>
        <w:rPr/>
      </w:pPr>
      <w:r>
        <w:rPr/>
      </w:r>
    </w:p>
    <w:p>
      <w:pPr>
        <w:pStyle w:val="Body"/>
        <w:rPr/>
      </w:pPr>
      <w:r>
        <w:rPr/>
        <w:t>El Paso maintains that the current unrestricted pool-to-pool transfers on their system make it impossible to follow strictly the rankings of each shipper and pooler.  This sometimes results in firm customers not being served while interruptible gas flows.  Some of the non-trading parties at the conference, specifically, Southwest Gas (LDC) and Sid Richardson (a small West Texas producer), were willing to sacrifice the flexibility and liquidity of unrestricted pool-to-pool transfers for the perceived reliability of being able to track gas flow more reliably.  On the other hand, trading shippers, such as Burlington Resources and Dynegy, stated that liquidity – the right to aggregate supplies – is more important to them than strictly following rankings.  Mr. Petrocelli indicated that parties should address, in their initial comments, the trade-offs between liquidity, flexibility and reliability, and that El Paso should provide some description of what the pools might look like if they could provide just linear pooling.</w:t>
      </w:r>
    </w:p>
    <w:p>
      <w:pPr>
        <w:pStyle w:val="Body"/>
        <w:rPr/>
      </w:pPr>
      <w:r>
        <w:rPr/>
      </w:r>
    </w:p>
    <w:p>
      <w:pPr>
        <w:pStyle w:val="Body"/>
        <w:rPr/>
      </w:pPr>
      <w:r>
        <w:rPr/>
        <w:t>Moving to a discussion of capacity, Mr. Petrocelli felt that they had a better understanding of the system constraints and what could be done to resolve them, but that it was a question of who was going to pay.  The three major proposals were discussed again:</w:t>
      </w:r>
    </w:p>
    <w:p>
      <w:pPr>
        <w:pStyle w:val="Body"/>
        <w:rPr/>
      </w:pPr>
      <w:r>
        <w:rPr/>
      </w:r>
    </w:p>
    <w:p>
      <w:pPr>
        <w:pStyle w:val="Body"/>
        <w:numPr>
          <w:ilvl w:val="0"/>
          <w:numId w:val="2"/>
        </w:numPr>
        <w:rPr/>
      </w:pPr>
      <w:r>
        <w:rPr/>
        <w:t>The basic Line 2000 project, which could be available in six months or so.  The certificate for this project converting the oil pipeline to natural gas use was issued May 2001.  Increase in capacity to move additional 230 MMcf/d of Permian supplies to California</w:t>
      </w:r>
    </w:p>
    <w:p>
      <w:pPr>
        <w:pStyle w:val="Body"/>
        <w:numPr>
          <w:ilvl w:val="0"/>
          <w:numId w:val="2"/>
        </w:numPr>
        <w:rPr/>
      </w:pPr>
      <w:r>
        <w:rPr/>
        <w:t>The Line 2000 power-up, available in mid-2003.  Binding open season announced July 2001 for additional 320 MMcf/d from Permian to California.  Air permitting concerns would be the hold-up, according to El Paso.</w:t>
      </w:r>
    </w:p>
    <w:p>
      <w:pPr>
        <w:pStyle w:val="Body"/>
        <w:numPr>
          <w:ilvl w:val="0"/>
          <w:numId w:val="2"/>
        </w:numPr>
        <w:rPr/>
      </w:pPr>
      <w:r>
        <w:rPr/>
        <w:t>Line 1903 (Daggett-Ehrenberg), available 1Q 2003.  Binding open season announced June 2001 for bi-directional expansion of 400-500 MMcf/d.</w:t>
      </w:r>
    </w:p>
    <w:p>
      <w:pPr>
        <w:pStyle w:val="Body"/>
        <w:rPr/>
      </w:pPr>
      <w:r>
        <w:rPr/>
      </w:r>
    </w:p>
    <w:p>
      <w:pPr>
        <w:pStyle w:val="Body"/>
        <w:rPr/>
      </w:pPr>
      <w:r>
        <w:rPr/>
        <w:t>Following an extended break, SRP came back with a more detailed presentation, which they characterized as a “conceptual solution.”  (This had to do with the fact that different procedural rules, including confidentiality, apply to a technical conference than to a settlement conference, so they couldn’t call it a proposal without affecting their litigation position.)  The basic elements of the “conceptual solution” were:</w:t>
      </w:r>
    </w:p>
    <w:p>
      <w:pPr>
        <w:pStyle w:val="Body"/>
        <w:rPr/>
      </w:pPr>
      <w:r>
        <w:rPr/>
      </w:r>
    </w:p>
    <w:p>
      <w:pPr>
        <w:pStyle w:val="Body"/>
        <w:numPr>
          <w:ilvl w:val="0"/>
          <w:numId w:val="4"/>
        </w:numPr>
        <w:rPr/>
      </w:pPr>
      <w:r>
        <w:rPr/>
        <w:t>The EOC shippers would be split into summer and winter peakers</w:t>
      </w:r>
    </w:p>
    <w:p>
      <w:pPr>
        <w:pStyle w:val="Body"/>
        <w:numPr>
          <w:ilvl w:val="0"/>
          <w:numId w:val="4"/>
        </w:numPr>
        <w:rPr/>
      </w:pPr>
      <w:r>
        <w:rPr/>
        <w:t>Each would get its full respective entitlements in its peak season, with off-system flexibility</w:t>
      </w:r>
    </w:p>
    <w:p>
      <w:pPr>
        <w:pStyle w:val="Body"/>
        <w:numPr>
          <w:ilvl w:val="0"/>
          <w:numId w:val="4"/>
        </w:numPr>
        <w:rPr/>
      </w:pPr>
      <w:r>
        <w:rPr/>
        <w:t>A minimum basin entitlement for each FR shipper would be set at a percent of daily entitlement, eliminating the alleged FR “gaming”</w:t>
      </w:r>
    </w:p>
    <w:p>
      <w:pPr>
        <w:pStyle w:val="Body"/>
        <w:numPr>
          <w:ilvl w:val="0"/>
          <w:numId w:val="4"/>
        </w:numPr>
        <w:rPr/>
      </w:pPr>
      <w:r>
        <w:rPr/>
        <w:t>CD shippers would be unaffected, but should have an option to seasonalize their capacity or to give up their MDQ</w:t>
      </w:r>
    </w:p>
    <w:p>
      <w:pPr>
        <w:pStyle w:val="Body"/>
        <w:numPr>
          <w:ilvl w:val="0"/>
          <w:numId w:val="4"/>
        </w:numPr>
        <w:rPr/>
      </w:pPr>
      <w:r>
        <w:rPr/>
        <w:t>Firm shippers would get demand charge credits for nominated but unscheduled volumes, effective immediately</w:t>
      </w:r>
    </w:p>
    <w:p>
      <w:pPr>
        <w:pStyle w:val="Body"/>
        <w:numPr>
          <w:ilvl w:val="0"/>
          <w:numId w:val="4"/>
        </w:numPr>
        <w:rPr/>
      </w:pPr>
      <w:r>
        <w:rPr/>
        <w:t>Basin rights would be awarded first to those shippers with specific basin rights, then equally to all other contracts pro rate based on entitlements (no second bite for FR)</w:t>
      </w:r>
    </w:p>
    <w:p>
      <w:pPr>
        <w:pStyle w:val="Body"/>
        <w:numPr>
          <w:ilvl w:val="0"/>
          <w:numId w:val="4"/>
        </w:numPr>
        <w:rPr/>
      </w:pPr>
      <w:r>
        <w:rPr/>
        <w:t>Any capacity available after all entitlements are met would be allocated pro rata among all nominating shippers based on the entitlement not nominated (and not on full entitlement)</w:t>
      </w:r>
    </w:p>
    <w:p>
      <w:pPr>
        <w:pStyle w:val="Body"/>
        <w:numPr>
          <w:ilvl w:val="0"/>
          <w:numId w:val="4"/>
        </w:numPr>
        <w:rPr/>
      </w:pPr>
      <w:r>
        <w:rPr/>
        <w:t>Costs would be reallocated within existing Cost-of-Service based on the increased volumes; El Paso to be revenue neutral</w:t>
      </w:r>
    </w:p>
    <w:p>
      <w:pPr>
        <w:pStyle w:val="Body"/>
        <w:numPr>
          <w:ilvl w:val="0"/>
          <w:numId w:val="4"/>
        </w:numPr>
        <w:rPr/>
      </w:pPr>
      <w:r>
        <w:rPr/>
        <w:t>No change to revenue crediting mechanism of the 1996 settlement (tied to original RSRS payments)</w:t>
      </w:r>
    </w:p>
    <w:p>
      <w:pPr>
        <w:pStyle w:val="Body"/>
        <w:numPr>
          <w:ilvl w:val="0"/>
          <w:numId w:val="4"/>
        </w:numPr>
        <w:rPr/>
      </w:pPr>
      <w:r>
        <w:rPr/>
        <w:t>Conceptually, would be implemented when El Paso puts in enough capacity to meet their responsibilities</w:t>
      </w:r>
    </w:p>
    <w:p>
      <w:pPr>
        <w:pStyle w:val="Body"/>
        <w:rPr/>
      </w:pPr>
      <w:r>
        <w:rPr/>
      </w:r>
    </w:p>
    <w:p>
      <w:pPr>
        <w:pStyle w:val="Body"/>
        <w:rPr/>
      </w:pPr>
      <w:r>
        <w:rPr/>
        <w:t>Parties asked several clarifying questions, but there was not much controversy.  After the conference was adjourned and Staff left the room, SRP’s attorney proposed a procedural schedule in the event parties wanted to move to a settlement mode.</w:t>
      </w:r>
    </w:p>
    <w:p>
      <w:pPr>
        <w:pStyle w:val="Body"/>
        <w:rPr/>
      </w:pPr>
      <w:r>
        <w:rPr/>
      </w:r>
    </w:p>
    <w:p>
      <w:pPr>
        <w:pStyle w:val="Body"/>
        <w:rPr/>
      </w:pPr>
      <w:r>
        <w:rPr/>
        <w:t>Following SRP’s presentation, Staff asked a few more technical questions:</w:t>
      </w:r>
    </w:p>
    <w:p>
      <w:pPr>
        <w:pStyle w:val="Body"/>
        <w:rPr/>
      </w:pPr>
      <w:r>
        <w:rPr/>
      </w:r>
    </w:p>
    <w:p>
      <w:pPr>
        <w:pStyle w:val="Body"/>
        <w:numPr>
          <w:ilvl w:val="0"/>
          <w:numId w:val="5"/>
        </w:numPr>
        <w:rPr/>
      </w:pPr>
      <w:r>
        <w:rPr/>
        <w:t>On OFO procedures, Staff would like El Paso to lay out some possible OFOs to alleviate displacement problems if they are going to incorporate displacement volumes into their allocation methodology.  Identify where OFOs would be needed.</w:t>
      </w:r>
    </w:p>
    <w:p>
      <w:pPr>
        <w:pStyle w:val="Body"/>
        <w:numPr>
          <w:ilvl w:val="0"/>
          <w:numId w:val="5"/>
        </w:numPr>
        <w:rPr/>
      </w:pPr>
      <w:r>
        <w:rPr/>
        <w:t>On segmentation and pathing, are they possible with the current proposal?  Where and how?  El Paso responded that the current proposal was a compromise and therefore not a guarantee of 100% flow every day.  Undefined delivery obligations and no in-line receipt points point to no segmentation possibilities.  El Paso noted that its original Order 637 filing proposed limited segmentation from San Juan to Topock (Window Rock), from Permian to Ehrenberg, and from Anadarko to Plains.</w:t>
      </w:r>
    </w:p>
    <w:p>
      <w:pPr>
        <w:pStyle w:val="Body"/>
        <w:numPr>
          <w:ilvl w:val="0"/>
          <w:numId w:val="5"/>
        </w:numPr>
        <w:rPr/>
      </w:pPr>
      <w:r>
        <w:rPr/>
        <w:t>Staff asked for an explanation of the capacity allocations going east.  El Paso responded that that was really an aggregated north/south allocation.  They baseload Havasu and Maricopa, using the North/South Crossover Permian/San Juan line as a swing.  Mr. Petrocelli indicated that, when they are looking at the studies, El Paso should assume no pro rata allocations.</w:t>
      </w:r>
    </w:p>
    <w:p>
      <w:pPr>
        <w:pStyle w:val="Body"/>
        <w:numPr>
          <w:ilvl w:val="0"/>
          <w:numId w:val="5"/>
        </w:numPr>
        <w:rPr/>
      </w:pPr>
      <w:r>
        <w:rPr/>
        <w:t>Mr. Petrocelli also suggested to El Paso that they should address, presumably in their initial comments, a proposal for demand charge credits (“firm is firm”)</w:t>
      </w:r>
    </w:p>
    <w:p>
      <w:pPr>
        <w:pStyle w:val="Body"/>
        <w:numPr>
          <w:ilvl w:val="0"/>
          <w:numId w:val="5"/>
        </w:numPr>
        <w:rPr/>
      </w:pPr>
      <w:r>
        <w:rPr/>
        <w:t>Mr. Petrocelli indicated a number of times during the conference that, in his opinion, full requirements would have to go.  While his opinion does not bind the Commission, it is a reflection of what Staff might recommend.</w:t>
      </w:r>
    </w:p>
    <w:p>
      <w:pPr>
        <w:pStyle w:val="Body"/>
        <w:rPr/>
      </w:pPr>
      <w:r>
        <w:rPr/>
      </w:r>
    </w:p>
    <w:p>
      <w:pPr>
        <w:pStyle w:val="Body"/>
        <w:rPr/>
      </w:pPr>
      <w:r>
        <w:rPr/>
        <w:t>To close the conference, the parties agreed to a schedule for providing the information El Paso needs to run the agreed-to models as well as assumptions where information is not provided.  El Paso agreed to develop an Excel spreadsheet worksheet along with some detailed instructions and distribute by July 23, with responses due back by July 30.  El Paso would then have two weeks to run the models, with results distributed back to the parties by August 13.  Assuming this schedule can be met, a second technical conference will be held in Washington on August 28 for discussion of the results.</w:t>
      </w:r>
    </w:p>
    <w:p>
      <w:pPr>
        <w:pStyle w:val="Body"/>
        <w:rPr/>
      </w:pPr>
      <w:r>
        <w:rPr/>
      </w:r>
    </w:p>
    <w:p>
      <w:pPr>
        <w:pStyle w:val="Body"/>
        <w:rPr/>
      </w:pPr>
      <w:r>
        <w:rPr/>
        <w:t>It appears that Staff expects the allocation proceeding to move along on an “expedited” track, separate from the capacity issues raised by the two complaints that were just filed, even though some parties consider the issues to be inseparable.  Procedurally, El Paso has twenty days to respond to the complaints.</w:t>
      </w:r>
    </w:p>
    <w:sectPr>
      <w:headerReference w:type="default" r:id="rId3"/>
      <w:headerReference w:type="first" r:id="rId4"/>
      <w:footerReference w:type="default" r:id="rId5"/>
      <w:footerReference w:type="first" r:id="rId6"/>
      <w:footnotePr>
        <w:numFmt w:val="decimal"/>
      </w:footnotePr>
      <w:type w:val="nextPage"/>
      <w:pgSz w:w="12240" w:h="15840"/>
      <w:pgMar w:left="720" w:right="720" w:gutter="0" w:header="720" w:top="776" w:footer="36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FT-2 shippers would continue to be served “off-the-top” with system-wide primary receipt rights.  Full requirements (FR) customers’ allocation of primary receipt rights would be based on their billing determinants (BD) as specified in the tariff.  FT-1 shippers would be allocated primary receipt rights based on either full CD or BD at pooling areas.  Full requirements above BD would be scheduled before all other alternates.  Contracts with single basin receipt rights would be allocated primary rights proportionally among all pools in that basin.  The number of pools would be increased to 20 to reflect operational realities.  Displacement deliveries will be taken into account.  The final allocation will be a one-time iterative process, similar to that used for the Topock delivery point allocation earlier this year.</w:t>
      </w:r>
    </w:p>
  </w:footnote>
  <w:footnote w:id="3">
    <w:p>
      <w:pPr>
        <w:pStyle w:val="FootnoteText"/>
        <w:spacing w:before="120" w:after="0"/>
        <w:rPr/>
      </w:pPr>
      <w:r>
        <w:rPr>
          <w:rStyle w:val="FootnoteCharacters"/>
        </w:rPr>
        <w:footnoteRef/>
      </w:r>
      <w:r>
        <w:rPr>
          <w:sz w:val="18"/>
        </w:rPr>
        <w:t xml:space="preserve"> </w:t>
      </w:r>
      <w:r>
        <w:rPr>
          <w:sz w:val="18"/>
        </w:rPr>
        <w:t>Line 2000 is the All-American oil pipeline that El Paso proposes to convert to natural gas usage.  It runs from West Texas to California.  Line 1903 is located in California and extends from Daggett near Kern River southeast to near Ehrenberg, AZ.  It was also acquired in the All-American pipeline transaction but was not included in the initial request for conversion.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El Paso Technical Conference, July 18-19, 2001</w:t>
      <w:tab/>
      <w:tab/>
      <w:tab/>
      <w:t>July 23, 2001</w:t>
    </w:r>
  </w:p>
  <w:p>
    <w:pPr>
      <w:pStyle w:val="Header"/>
      <w:tabs>
        <w:tab w:val="clear" w:pos="8640"/>
        <w:tab w:val="center" w:pos="4320" w:leader="none"/>
        <w:tab w:val="right" w:pos="10530" w:leader="none"/>
      </w:tabs>
      <w:rPr>
        <w:rStyle w:val="PageNumber"/>
        <w:sz w:val="18"/>
      </w:rPr>
    </w:pPr>
    <w:r>
      <w:rPr>
        <w:sz w:val="18"/>
      </w:rPr>
      <w:t>RP00-336, System Wide Capacity Reallocation</w:t>
      <w:tab/>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w:t>
    </w:r>
    <w:r>
      <w:rPr>
        <w:rStyle w:val="PageNumber"/>
        <w:sz w:val="18"/>
      </w:rPr>
      <w:fldChar w:fldCharType="end"/>
    </w:r>
  </w:p>
  <w:p>
    <w:pPr>
      <w:pStyle w:val="Header"/>
      <w:tabs>
        <w:tab w:val="clear" w:pos="8640"/>
        <w:tab w:val="center" w:pos="4320" w:leader="none"/>
        <w:tab w:val="right" w:pos="10530" w:leader="none"/>
      </w:tabs>
      <w:rPr>
        <w:rStyle w:val="PageNumber"/>
        <w:sz w:val="18"/>
      </w:rPr>
    </w:pPr>
    <w:r>
      <w:rPr/>
    </w:r>
  </w:p>
  <w:p>
    <w:pPr>
      <w:pStyle w:val="Header"/>
      <w:tabs>
        <w:tab w:val="clear" w:pos="8640"/>
        <w:tab w:val="center" w:pos="4320" w:leader="none"/>
        <w:tab w:val="right" w:pos="10530" w:leader="none"/>
      </w:tabs>
      <w:rPr>
        <w:rStyle w:val="PageNumber"/>
        <w:sz w:val="20"/>
      </w:rPr>
    </w:pPr>
    <w:r>
      <w:rPr/>
    </w:r>
  </w:p>
  <w:p>
    <w:pPr>
      <w:pStyle w:val="Header"/>
      <w:tabs>
        <w:tab w:val="clear" w:pos="8640"/>
        <w:tab w:val="center" w:pos="4320" w:leader="none"/>
        <w:tab w:val="right" w:pos="10530" w:leader="none"/>
      </w:tabs>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92"/>
        </w:tabs>
        <w:ind w:start="792" w:hanging="360"/>
      </w:pPr>
    </w:lvl>
  </w:abstractNum>
  <w:abstractNum w:abstractNumId="3">
    <w:lvl w:ilvl="0">
      <w:start w:val="1"/>
      <w:numFmt w:val="decimal"/>
      <w:lvlText w:val="%1."/>
      <w:lvlJc w:val="start"/>
      <w:pPr>
        <w:tabs>
          <w:tab w:val="num" w:pos="792"/>
        </w:tabs>
        <w:ind w:start="792" w:hanging="360"/>
      </w:pPr>
    </w:lvl>
  </w:abstractNum>
  <w:abstractNum w:abstractNumId="4">
    <w:lvl w:ilvl="0">
      <w:start w:val="1"/>
      <w:numFmt w:val="decimal"/>
      <w:lvlText w:val="%1."/>
      <w:lvlJc w:val="start"/>
      <w:pPr>
        <w:tabs>
          <w:tab w:val="num" w:pos="792"/>
        </w:tabs>
        <w:ind w:start="792" w:hanging="360"/>
      </w:pPr>
    </w:lvl>
  </w:abstractNum>
  <w:abstractNum w:abstractNumId="5">
    <w:lvl w:ilvl="0">
      <w:start w:val="1"/>
      <w:numFmt w:val="decimal"/>
      <w:lvlText w:val="%1."/>
      <w:lvlJc w:val="start"/>
      <w:pPr>
        <w:tabs>
          <w:tab w:val="num" w:pos="792"/>
        </w:tabs>
        <w:ind w:start="792"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256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2001-07-23T16:50:00Z</dcterms:created>
  <dc:creator>Rebecca W. Cantrell</dc:creator>
  <dc:description/>
  <dc:language>en-CA</dc:language>
  <cp:lastModifiedBy>Rebecca W. Cantrell</cp:lastModifiedBy>
  <cp:lastPrinted>2001-07-24T09:36:00Z</cp:lastPrinted>
  <dcterms:modified xsi:type="dcterms:W3CDTF">2001-07-24T12:46:00Z</dcterms:modified>
  <cp:revision>6</cp:revision>
  <dc:subject/>
  <dc:title>Better, Faster, Simpler Memo </dc:title>
</cp:coreProperties>
</file>