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pPr>
      <w:bookmarkStart w:id="0" w:name="bkTemp"/>
      <w:bookmarkEnd w:id="0"/>
      <w:r>
        <w:rPr/>
        <w:t>SALE OF MONTERREY, MEXICO POWER PLANT</w:t>
      </w:r>
    </w:p>
    <w:p>
      <w:pPr>
        <w:pStyle w:val="Heading"/>
        <w:spacing w:before="0" w:after="480"/>
        <w:rPr/>
      </w:pPr>
      <w:r>
        <w:rPr/>
        <w:t>TO TRACTEBEL, S.A.</w:t>
      </w:r>
    </w:p>
    <w:p>
      <w:pPr>
        <w:pStyle w:val="BodyTextFirstIndent"/>
        <w:jc w:val="start"/>
        <w:rPr>
          <w:b/>
          <w:bCs/>
        </w:rPr>
      </w:pPr>
      <w:r>
        <w:rPr/>
        <w:t>In the Share and Note Purchase Agreement (“SPA”) for the sale of an 80% stake in the Mexican project company (the “Project Company”) owning the Monterrey, Mexico power plant and the Enron holding companies of the Project Company (“BV2”, “BV1.5” and “EILLC”), Enron Capital &amp; Trade Resources Mexico Holdings B.V (the “Seller”) made several representations to Tractebel, S.A. (the “Purchaser”) as part of the SPA.  The following is a copy of the representations the Seller gave at the time the SPA was executed and that the Seller must reconfirm at closing.  In order to reduce any indemnity claim, the Seller is permitted under the terms of the SPA to supplement the disclosure schedules prior to closing.  Accordingly, you are being asked to review the attached schedules and the attached representations to determine what, if any, changes need to be made to the schedules in advance of closing.</w:t>
      </w:r>
    </w:p>
    <w:p>
      <w:pPr>
        <w:pStyle w:val="BodyTextFirstIndent"/>
        <w:jc w:val="center"/>
        <w:rPr>
          <w:b/>
          <w:bCs/>
        </w:rPr>
      </w:pPr>
      <w:r>
        <w:rPr>
          <w:b/>
          <w:bCs/>
        </w:rPr>
        <w:t>Representations Made by Seller in the SPA</w:t>
      </w:r>
    </w:p>
    <w:p>
      <w:pPr>
        <w:pStyle w:val="Normal"/>
        <w:keepNext w:val="true"/>
        <w:keepLines/>
        <w:ind w:firstLine="720" w:end="0"/>
        <w:jc w:val="both"/>
        <w:rPr/>
      </w:pPr>
      <w:r>
        <w:rPr/>
        <w:t>The Seller represents and warrants to the Purchaser as follows:</w:t>
      </w:r>
    </w:p>
    <w:p>
      <w:pPr>
        <w:pStyle w:val="Normal"/>
        <w:keepNext w:val="true"/>
        <w:keepLines/>
        <w:jc w:val="both"/>
        <w:rPr/>
      </w:pPr>
      <w:r>
        <w:rPr/>
      </w:r>
    </w:p>
    <w:p>
      <w:pPr>
        <w:pStyle w:val="Normal"/>
        <w:numPr>
          <w:ilvl w:val="1"/>
          <w:numId w:val="1"/>
        </w:numPr>
        <w:jc w:val="both"/>
        <w:rPr/>
      </w:pPr>
      <w:r>
        <w:rPr>
          <w:u w:val="single"/>
        </w:rPr>
        <w:t>Organization</w:t>
      </w:r>
      <w:r>
        <w:fldChar w:fldCharType="begin"/>
      </w:r>
      <w:r>
        <w:rPr/>
        <w:instrText xml:space="preserve"> TC "Section 3.1</w:instrText>
        <w:tab/>
        <w:instrText xml:space="preserve">Organization" \l 2 </w:instrText>
      </w:r>
      <w:r>
        <w:rPr/>
        <w:fldChar w:fldCharType="separate"/>
      </w:r>
      <w:r>
        <w:rPr/>
      </w:r>
      <w:r>
        <w:rPr/>
        <w:fldChar w:fldCharType="end"/>
      </w:r>
      <w:r>
        <w:rPr/>
        <w:t>.  Each of the Seller, BV1.5 and BV2 is a private company with limited liability duly organized, validly existing, and in good standing under the laws of the Netherlands.  The Project Company is a limited liability company (</w:t>
      </w:r>
      <w:r>
        <w:rPr>
          <w:i/>
        </w:rPr>
        <w:t>sociedad de responsabilidad limitada de capital variable</w:t>
      </w:r>
      <w:r>
        <w:rPr/>
        <w:t xml:space="preserve">) duly formed and validly existing under the laws of Mexico. EILLC is a limited liability company duly organized, validly existing, and in good standing under the laws of the State of Delaware.  Each of the Seller, BV1.5, BV2, and EILLC is duly qualified to transact business in each jurisdiction in which its purported ownership or leasing of its properties or the character of its operations makes such qualification necessary and the failure to so qualify would have a material adverse effect on it or its operations.  Each of Seller, BV1.5, BV2 and EILLC has full power and authority under the applicable business entity law and regulations of the jurisdiction of its organization or formation and each of its Organizational Documents to own or lease the assets it purports to own or lease and to perform all its obligations under the Existing Contracts and, as of the Time of Purchase, the Additional Contracts to which it is a party.  The Project Company is duly qualified to transact business in each jurisdiction in which its purported ownership or leasing of its properties or the character of its operations makes such qualification necessary and the failure to so qualify would have a material adverse effect on it or its operations.  The Project Company has full power and authority under the applicable Mexican business entity law and regulations to own or lease the assets it purports to own or lease and to perform all its obligations under the Existing Contracts and, as of the Time of Purchase, the Additional Contracts to which it is a party.  True and correct copies of the articles of association of BV1.5 and BV2, the deeds of incorporation and articles of incorporation and bylaws of the Project Company, and the certificate of formation of EILLC, each as amended to date, have been delivered to the Purchaser.  Each of BV1.5, BV2, EILLC and the Project Company purports to own or lease properties only as provided in </w:t>
      </w:r>
      <w:r>
        <w:rPr>
          <w:u w:val="single"/>
        </w:rPr>
        <w:t>Section 3.2</w:t>
      </w:r>
      <w:r>
        <w:rPr/>
        <w:t xml:space="preserve"> below or as contemplated by the Material Contracts.  </w:t>
      </w:r>
    </w:p>
    <w:p>
      <w:pPr>
        <w:pStyle w:val="Normal"/>
        <w:jc w:val="both"/>
        <w:rPr/>
      </w:pPr>
      <w:r>
        <w:rPr/>
      </w:r>
    </w:p>
    <w:p>
      <w:pPr>
        <w:pStyle w:val="Normal"/>
        <w:numPr>
          <w:ilvl w:val="1"/>
          <w:numId w:val="1"/>
        </w:numPr>
        <w:jc w:val="both"/>
        <w:rPr/>
      </w:pPr>
      <w:r>
        <w:rPr>
          <w:u w:val="single"/>
        </w:rPr>
        <w:t>No Real Property or Interests</w:t>
      </w:r>
      <w:r>
        <w:rPr/>
        <w:t>.</w:t>
      </w:r>
      <w:r>
        <w:fldChar w:fldCharType="begin"/>
      </w:r>
      <w:r>
        <w:rPr/>
        <w:instrText xml:space="preserve"> TC "Section 3.2</w:instrText>
        <w:tab/>
        <w:instrText xml:space="preserve">No Real Property or Interests" \l 2 </w:instrText>
      </w:r>
      <w:r>
        <w:rPr/>
        <w:fldChar w:fldCharType="separate"/>
      </w:r>
      <w:r>
        <w:rPr/>
      </w:r>
      <w:r>
        <w:rPr/>
        <w:fldChar w:fldCharType="end"/>
      </w:r>
      <w:r>
        <w:rPr/>
        <w:t xml:space="preserve">  Except for the Project Site and certain right of way easements granted by Industria del Alcali, S.A. de C.V. and Vitro Flotado, S.A. de C.V., as described in the Easement Agreement entered into by and among the Project Company, Industria del Alcali, S.A. de C.V. and Vitro Flotado, S.A. de C.V. on July 26, 2000, none of the Group Companies owns an interest in any real property.  To the best of Seller's knowledge, the Project Site includes a fee interest in all real property necessary for the ownership of the Project.  Except for (i) BV1.5's ownership interest in BV2, (ii) BV2's ownership interest in EILLC and the Project Company, and (iii) EILLC’s ownership interest in the Project Company, none of the Group Companies owns any interest in any other Person.  None of the Group Companies, the Seller, or any Affiliate of any of them, has created or granted any Lien on any assets of any of the Group Companies, or upon the capital stock therein, other</w:t>
      </w:r>
      <w:r>
        <w:rPr>
          <w:b/>
        </w:rPr>
        <w:t xml:space="preserve"> </w:t>
      </w:r>
      <w:r>
        <w:rPr/>
        <w:t>than Liens contemplated by the Financing Documents.</w:t>
      </w:r>
    </w:p>
    <w:p>
      <w:pPr>
        <w:pStyle w:val="Normal"/>
        <w:jc w:val="both"/>
        <w:rPr/>
      </w:pPr>
      <w:r>
        <w:rPr/>
      </w:r>
    </w:p>
    <w:p>
      <w:pPr>
        <w:pStyle w:val="Normal"/>
        <w:numPr>
          <w:ilvl w:val="1"/>
          <w:numId w:val="1"/>
        </w:numPr>
        <w:jc w:val="both"/>
        <w:rPr/>
      </w:pPr>
      <w:r>
        <w:rPr>
          <w:u w:val="single"/>
        </w:rPr>
        <w:t>No Employees or Plans</w:t>
      </w:r>
      <w:r>
        <w:rPr/>
        <w:t>.</w:t>
      </w:r>
      <w:r>
        <w:fldChar w:fldCharType="begin"/>
      </w:r>
      <w:r>
        <w:rPr/>
        <w:instrText xml:space="preserve"> TC "Section 3.3</w:instrText>
        <w:tab/>
        <w:instrText xml:space="preserve">No Employees or Plans" \l 2 </w:instrText>
      </w:r>
      <w:r>
        <w:rPr/>
        <w:fldChar w:fldCharType="separate"/>
      </w:r>
      <w:r>
        <w:rPr/>
      </w:r>
      <w:r>
        <w:rPr/>
        <w:fldChar w:fldCharType="end"/>
      </w:r>
      <w:r>
        <w:rPr/>
        <w:t xml:space="preserve"> Except as set forth on </w:t>
      </w:r>
      <w:r>
        <w:rPr>
          <w:u w:val="single"/>
        </w:rPr>
        <w:t>Schedule 3.3</w:t>
      </w:r>
      <w:r>
        <w:rPr/>
        <w:t>, none of the Group Companies has had any employee since the date of its formation and none of the Group Companies has established, sponsored or incurred any obligation under any Employee Benefit Plan.</w:t>
      </w:r>
    </w:p>
    <w:p>
      <w:pPr>
        <w:pStyle w:val="Normal"/>
        <w:jc w:val="both"/>
        <w:rPr/>
      </w:pPr>
      <w:r>
        <w:rPr/>
      </w:r>
    </w:p>
    <w:p>
      <w:pPr>
        <w:pStyle w:val="Normal"/>
        <w:numPr>
          <w:ilvl w:val="1"/>
          <w:numId w:val="1"/>
        </w:numPr>
        <w:jc w:val="both"/>
        <w:rPr/>
      </w:pPr>
      <w:r>
        <w:rPr>
          <w:u w:val="single"/>
        </w:rPr>
        <w:t>Existing Contracts</w:t>
      </w:r>
      <w:r>
        <w:rPr/>
        <w:t>.</w:t>
      </w:r>
      <w:r>
        <w:fldChar w:fldCharType="begin"/>
      </w:r>
      <w:r>
        <w:rPr/>
        <w:instrText xml:space="preserve"> TC "Section 3.4</w:instrText>
        <w:tab/>
        <w:instrText xml:space="preserve">Existing Contracts" \l 2 </w:instrText>
      </w:r>
      <w:r>
        <w:rPr/>
        <w:fldChar w:fldCharType="separate"/>
      </w:r>
      <w:r>
        <w:rPr/>
      </w:r>
      <w:r>
        <w:rPr/>
        <w:fldChar w:fldCharType="end"/>
      </w:r>
      <w:r>
        <w:rPr/>
        <w:t xml:space="preserve"> </w:t>
      </w:r>
      <w:r>
        <w:rPr>
          <w:u w:val="single"/>
        </w:rPr>
        <w:t>Schedule 3.4</w:t>
      </w:r>
      <w:r>
        <w:rPr/>
        <w:t xml:space="preserve"> sets forth a true, correct and complete list of (i) each material contract or agreement to which any of the Group Companies is a party or by which any of them is bound (the "</w:t>
      </w:r>
      <w:r>
        <w:rPr>
          <w:u w:val="single"/>
        </w:rPr>
        <w:t>Existing Contracts</w:t>
      </w:r>
      <w:r>
        <w:rPr/>
        <w:t>") and (ii) each additional material contract or agreement (and each amendment to an Existing Contract) which the Group Companies anticipate they will enter into prior to the Closing Date (the "</w:t>
      </w:r>
      <w:r>
        <w:rPr>
          <w:u w:val="single"/>
        </w:rPr>
        <w:t>Additional Contracts</w:t>
      </w:r>
      <w:r>
        <w:rPr/>
        <w:t>").  None of the Group Companies or, to the knowledge of the Seller, any other party is in default under any material provision of any Existing Contract and, to the knowledge of the Seller, each Existing Contract remains in full force and effect, other than any notice of default or any notice of any failure of an Existing Contract to be in full force and effect that could not have a material adverse effect on the Project.</w:t>
      </w:r>
    </w:p>
    <w:p>
      <w:pPr>
        <w:pStyle w:val="Normal"/>
        <w:jc w:val="both"/>
        <w:rPr/>
      </w:pPr>
      <w:r>
        <w:rPr/>
      </w:r>
    </w:p>
    <w:p>
      <w:pPr>
        <w:pStyle w:val="Normal"/>
        <w:numPr>
          <w:ilvl w:val="1"/>
          <w:numId w:val="1"/>
        </w:numPr>
        <w:jc w:val="both"/>
        <w:rPr/>
      </w:pPr>
      <w:r>
        <w:rPr>
          <w:u w:val="single"/>
        </w:rPr>
        <w:t>Capitalization; Title to Shares; Title to BV2 Note</w:t>
      </w:r>
      <w:r>
        <w:rPr/>
        <w:t>.</w:t>
      </w:r>
      <w:r>
        <w:fldChar w:fldCharType="begin"/>
      </w:r>
      <w:r>
        <w:rPr/>
        <w:instrText xml:space="preserve"> TC "Section 3.5</w:instrText>
        <w:tab/>
        <w:instrText xml:space="preserve">Capitalization; Title to Shares; Title to BV2 Note" \l 2 </w:instrText>
      </w:r>
      <w:r>
        <w:rPr/>
        <w:fldChar w:fldCharType="separate"/>
      </w:r>
      <w:r>
        <w:rPr/>
      </w:r>
      <w:r>
        <w:rPr/>
        <w:fldChar w:fldCharType="end"/>
      </w:r>
      <w:r>
        <w:rPr/>
        <w:t xml:space="preserve">  At Closing, the authorized capital shares of BV1.5 shall consist of 200 Class A shares and 800 Class B shares of which all shall be issued, outstanding, fully paid and nonassessable (collectively, the "</w:t>
      </w:r>
      <w:r>
        <w:rPr>
          <w:u w:val="single"/>
        </w:rPr>
        <w:t>BV1.5 Shares</w:t>
      </w:r>
      <w:r>
        <w:rPr/>
        <w:t>").  At Closing, the Seller shall own all of the BV1.5 Shares, free and clear of any lien, charge, encumbrance, right of first refusal, option or other claim (collectively, "</w:t>
      </w:r>
      <w:r>
        <w:rPr>
          <w:u w:val="single"/>
        </w:rPr>
        <w:t>Liens</w:t>
      </w:r>
      <w:r>
        <w:rPr/>
        <w:t>"), other than the Lien contemplated by the Financing Documents.  The authorized capital shares of BV2 consist of 20,000 shares of which 4,000 shares are issued, outstanding, fully paid, and nonassessable (the "</w:t>
      </w:r>
      <w:r>
        <w:rPr>
          <w:u w:val="single"/>
        </w:rPr>
        <w:t>BV2 Shares</w:t>
      </w:r>
      <w:r>
        <w:rPr/>
        <w:t>").  BV1.5 owns all of the BV2 Shares, free and clear of any Liens, other than the Lien granted under the Financing Documents.  All of the limited liability company interests of EILLC (the "</w:t>
      </w:r>
      <w:r>
        <w:rPr>
          <w:u w:val="single"/>
        </w:rPr>
        <w:t>EILLC Interests</w:t>
      </w:r>
      <w:r>
        <w:rPr/>
        <w:t>") are issued, outstanding, fully paid and nonassessable and owned by BV2, free and clear of any Liens.  There are no outstanding securities convertible into or exercisable or exchangeable for capital shares of BV1.5, BV2, or EILLC or any contract, commitment, or agreement to which the Seller, BV1.5, BV2, or EILLC is a party relating to the issuance of any capital shares of BV1.5, BV2, or EILLC or any securities convertible into or exercisable or exchangeable for any capital shares of BV1.5, BV2, or EILLC.  The instruments to be executed and delivered by the Seller at the Closing are sufficient to transfer to the Purchaser title to the Shares free and clear of any Lien, other than the Lien contemplated by the Financing Documents.  As of the date hereof, the authorized capital stock of the Project Company consists of 46 Series N quotas of which 32 Series N quotas, with a total value of $33.00 Pesos, are issued, outstanding, fully paid and nonassessable and 2 Series A ordinary voting quotas, with a total value of $3,000.00 Pesos, of which 2 are issued, outstanding fully paid and nonassessable (collectively, the "</w:t>
      </w:r>
      <w:r>
        <w:rPr>
          <w:u w:val="single"/>
        </w:rPr>
        <w:t>Project Company Capital</w:t>
      </w:r>
      <w:r>
        <w:rPr/>
        <w:t xml:space="preserve">").  </w:t>
      </w:r>
      <w:r>
        <w:rPr>
          <w:u w:val="single"/>
        </w:rPr>
        <w:t>Schedule 3.5</w:t>
      </w:r>
      <w:r>
        <w:rPr/>
        <w:t xml:space="preserve"> sets forth the ownership of the Project Company Capital.  The Project Company Capital owned by BV2 and EILLC is free and clear of any Liens, other than the Liens contemplated by the Financing Documents.  Except as set forth on </w:t>
      </w:r>
      <w:r>
        <w:rPr>
          <w:u w:val="single"/>
        </w:rPr>
        <w:t>Schedule 3.5</w:t>
      </w:r>
      <w:r>
        <w:rPr/>
        <w:t>,</w:t>
      </w:r>
      <w:r>
        <w:rPr>
          <w:b/>
        </w:rPr>
        <w:t xml:space="preserve"> </w:t>
      </w:r>
      <w:r>
        <w:rPr/>
        <w:t>there are no outstanding securities convertible into or exercisable or exchangeable for capital quotas of the Project Company or any contract, commitment, or agreement to which the Seller, or any of the Group Companies is a party relating to the issuance of any capital quotas of the Project Company or any securities convertible into exercisable or exchangeable for any capital quotas of the Project Company.  The Seller represents and warrants to the Purchaser that the Seller is the legal and beneficial owner of the BV2 Note and the interest therein being assigned by it hereunder and that such interest is free and clear from any Liens, other than the Liens contemplated by the Financing Documents.</w:t>
      </w:r>
    </w:p>
    <w:p>
      <w:pPr>
        <w:pStyle w:val="Normal"/>
        <w:jc w:val="both"/>
        <w:rPr/>
      </w:pPr>
      <w:r>
        <w:rPr/>
      </w:r>
    </w:p>
    <w:p>
      <w:pPr>
        <w:pStyle w:val="Normal"/>
        <w:numPr>
          <w:ilvl w:val="1"/>
          <w:numId w:val="1"/>
        </w:numPr>
        <w:jc w:val="both"/>
        <w:rPr/>
      </w:pPr>
      <w:r>
        <w:rPr>
          <w:u w:val="single"/>
        </w:rPr>
        <w:t>Authority, Due Authorization, Execution, etc</w:t>
      </w:r>
      <w:r>
        <w:rPr/>
        <w:t>.</w:t>
      </w:r>
      <w:r>
        <w:fldChar w:fldCharType="begin"/>
      </w:r>
      <w:r>
        <w:rPr/>
        <w:instrText xml:space="preserve"> TC "Section 3.6</w:instrText>
        <w:tab/>
        <w:instrText xml:space="preserve">Authority, Due Authorization, Execution, etc." \l 2 </w:instrText>
      </w:r>
      <w:r>
        <w:rPr/>
        <w:fldChar w:fldCharType="separate"/>
      </w:r>
      <w:r>
        <w:rPr/>
      </w:r>
      <w:r>
        <w:rPr/>
        <w:fldChar w:fldCharType="end"/>
      </w:r>
      <w:r>
        <w:rPr/>
        <w:t xml:space="preserve">  Each of the Seller, BV1.5, BV2, EILLC and the Project Company has all requisite entity power and authority to execute, deliver and perform its obligations under this Agreement and each Existing Contract to which the it is a party.  This Agreement and each Existing Contract to which the Seller or any of the Group Companies is a party at the Time of Purchase has been duly authorized, and when executed and delivered by the Seller or the Group Company a party thereto, will constitute the legal, valid and binding obligation of the Seller or such Group Company, enforceable against the Seller or such Group Company in accordance with their terms.</w:t>
      </w:r>
    </w:p>
    <w:p>
      <w:pPr>
        <w:pStyle w:val="Normal"/>
        <w:jc w:val="both"/>
        <w:rPr/>
      </w:pPr>
      <w:r>
        <w:rPr/>
      </w:r>
    </w:p>
    <w:p>
      <w:pPr>
        <w:pStyle w:val="Normal"/>
        <w:numPr>
          <w:ilvl w:val="1"/>
          <w:numId w:val="1"/>
        </w:numPr>
        <w:jc w:val="both"/>
        <w:rPr/>
      </w:pPr>
      <w:r>
        <w:rPr>
          <w:u w:val="single"/>
        </w:rPr>
        <w:t>No Violation</w:t>
      </w:r>
      <w:r>
        <w:rPr/>
        <w:t>.</w:t>
      </w:r>
      <w:r>
        <w:fldChar w:fldCharType="begin"/>
      </w:r>
      <w:r>
        <w:rPr/>
        <w:instrText xml:space="preserve"> TC "Section 3.7</w:instrText>
        <w:tab/>
        <w:instrText xml:space="preserve">No Violation." \l 2 </w:instrText>
      </w:r>
      <w:r>
        <w:rPr/>
        <w:fldChar w:fldCharType="separate"/>
      </w:r>
      <w:r>
        <w:rPr/>
      </w:r>
      <w:r>
        <w:rPr/>
        <w:fldChar w:fldCharType="end"/>
      </w:r>
      <w:r>
        <w:rPr/>
        <w:t xml:space="preserve">  The execution and delivery of this Agreement and the consummation of the transactions contemplated hereby will not (with or without lapse of time) directly or indirectly violate, conflict with, or constitute a default or breach under (a) the Organizational Documents of the Seller or any of the Group Companies, (b) any Existing Contract or Additional Contract, (c) any loan or credit agreement or any other material agreement or instrument to which the Seller or any of the Group Companies is a party or by which it or any of its respective properties is bound, or (d) any order of any Governmental Authority binding on the Seller or any of the Group Companies.</w:t>
      </w:r>
    </w:p>
    <w:p>
      <w:pPr>
        <w:pStyle w:val="Normal"/>
        <w:jc w:val="both"/>
        <w:rPr/>
      </w:pPr>
      <w:r>
        <w:rPr/>
      </w:r>
    </w:p>
    <w:p>
      <w:pPr>
        <w:pStyle w:val="Normal"/>
        <w:numPr>
          <w:ilvl w:val="1"/>
          <w:numId w:val="1"/>
        </w:numPr>
        <w:jc w:val="both"/>
        <w:rPr/>
      </w:pPr>
      <w:r>
        <w:rPr>
          <w:u w:val="single"/>
        </w:rPr>
        <w:t>Litigation, Proceedings, etc</w:t>
      </w:r>
      <w:r>
        <w:fldChar w:fldCharType="begin"/>
      </w:r>
      <w:r>
        <w:rPr/>
        <w:instrText xml:space="preserve"> TC "Section 3.8</w:instrText>
        <w:tab/>
        <w:instrText xml:space="preserve">Litigation, Proceedings, etc" \l 2 </w:instrText>
      </w:r>
      <w:r>
        <w:rPr/>
        <w:fldChar w:fldCharType="separate"/>
      </w:r>
      <w:r>
        <w:rPr/>
      </w:r>
      <w:r>
        <w:rPr/>
        <w:fldChar w:fldCharType="end"/>
      </w:r>
      <w:r>
        <w:rPr/>
        <w:t xml:space="preserve">.  Except as set forth on </w:t>
      </w:r>
      <w:r>
        <w:rPr>
          <w:u w:val="single"/>
        </w:rPr>
        <w:t>Schedule3.8</w:t>
      </w:r>
      <w:r>
        <w:rPr/>
        <w:t xml:space="preserve">, there is no Action pending of which Seller or any of the Group Companies has received notice or, to the knowledge of the Seller or any of the Group Companies, there is no Action contemplated or threatened against the Seller, or any of the Group Companies, or their properties or assets. </w:t>
      </w:r>
    </w:p>
    <w:p>
      <w:pPr>
        <w:pStyle w:val="Normal"/>
        <w:jc w:val="both"/>
        <w:rPr/>
      </w:pPr>
      <w:r>
        <w:rPr/>
      </w:r>
    </w:p>
    <w:p>
      <w:pPr>
        <w:pStyle w:val="Normal"/>
        <w:numPr>
          <w:ilvl w:val="1"/>
          <w:numId w:val="1"/>
        </w:numPr>
        <w:jc w:val="both"/>
        <w:rPr/>
      </w:pPr>
      <w:r>
        <w:rPr>
          <w:u w:val="single"/>
        </w:rPr>
        <w:t>Consents and Waivers</w:t>
      </w:r>
      <w:r>
        <w:rPr/>
        <w:t>.</w:t>
      </w:r>
      <w:r>
        <w:fldChar w:fldCharType="begin"/>
      </w:r>
      <w:r>
        <w:rPr/>
        <w:instrText xml:space="preserve"> TC "Section 3.9</w:instrText>
        <w:tab/>
        <w:instrText xml:space="preserve">Consents and Waivers." \l 2 </w:instrText>
      </w:r>
      <w:r>
        <w:rPr/>
        <w:fldChar w:fldCharType="separate"/>
      </w:r>
      <w:r>
        <w:rPr/>
      </w:r>
      <w:r>
        <w:rPr/>
        <w:fldChar w:fldCharType="end"/>
      </w:r>
      <w:r>
        <w:rPr/>
        <w:t xml:space="preserve">   Except as set forth on </w:t>
      </w:r>
      <w:r>
        <w:rPr>
          <w:u w:val="single"/>
        </w:rPr>
        <w:t>Schedule 3.9</w:t>
      </w:r>
      <w:r>
        <w:rPr/>
        <w:t>, no authorization, consent, approval, waiver, license, qualification or written exemption from, nor any filing, declaration, qualification or registration with, any Governmental Authority or any other Person is required (with or without lapse of time) to be obtained by the Seller, or any of the Group Companies in connection with the execution and delivery of this Agreement and the sale of the Shares and Note Interest.</w:t>
      </w:r>
    </w:p>
    <w:p>
      <w:pPr>
        <w:pStyle w:val="Normal"/>
        <w:jc w:val="both"/>
        <w:rPr/>
      </w:pPr>
      <w:r>
        <w:rPr/>
      </w:r>
    </w:p>
    <w:p>
      <w:pPr>
        <w:pStyle w:val="Normal"/>
        <w:numPr>
          <w:ilvl w:val="1"/>
          <w:numId w:val="1"/>
        </w:numPr>
        <w:jc w:val="both"/>
        <w:rPr/>
      </w:pPr>
      <w:r>
        <w:rPr>
          <w:u w:val="single"/>
        </w:rPr>
        <w:t>Taxes</w:t>
      </w:r>
      <w:r>
        <w:rPr/>
        <w:t>.</w:t>
      </w:r>
      <w:r>
        <w:fldChar w:fldCharType="begin"/>
      </w:r>
      <w:r>
        <w:rPr/>
        <w:instrText xml:space="preserve"> TC "Section 3.10</w:instrText>
        <w:tab/>
        <w:instrText xml:space="preserve">Taxes" \l 2 </w:instrText>
      </w:r>
      <w:r>
        <w:rPr/>
        <w:fldChar w:fldCharType="separate"/>
      </w:r>
      <w:r>
        <w:rPr/>
      </w:r>
      <w:r>
        <w:rPr/>
        <w:fldChar w:fldCharType="end"/>
      </w:r>
      <w:r>
        <w:rPr/>
        <w:t xml:space="preserve">  All Tax Returns required to be filed by any of the Group Companies with any Governmental Authority in any jurisdiction have been timely filed and all Taxes which are due and payable by any of the Group Companies have been paid as required; each such Tax Return is true, complete and correct in all respects; none of the Group Companies has requested an extension of time with which to file any Tax Return in respect of any taxable year which has not since been filed; there are no outstanding waivers or agreements extending the applicable statute of limitations for any period with respect to any Taxes of any of the Group Companies; and there has been no written notice of any audit or other proceeding with respect to any Tax Returns of any of the Group Companies.</w:t>
      </w:r>
    </w:p>
    <w:p>
      <w:pPr>
        <w:pStyle w:val="Normal"/>
        <w:jc w:val="both"/>
        <w:rPr/>
      </w:pPr>
      <w:r>
        <w:rPr/>
      </w:r>
    </w:p>
    <w:p>
      <w:pPr>
        <w:pStyle w:val="Normal"/>
        <w:numPr>
          <w:ilvl w:val="1"/>
          <w:numId w:val="1"/>
        </w:numPr>
        <w:jc w:val="both"/>
        <w:rPr/>
      </w:pPr>
      <w:r>
        <w:rPr>
          <w:u w:val="single"/>
        </w:rPr>
        <w:t>Balance Sheets</w:t>
      </w:r>
      <w:r>
        <w:rPr/>
        <w:t>.</w:t>
      </w:r>
      <w:r>
        <w:fldChar w:fldCharType="begin"/>
      </w:r>
      <w:r>
        <w:rPr/>
        <w:instrText xml:space="preserve"> TC "Section 3.11</w:instrText>
        <w:tab/>
        <w:instrText xml:space="preserve">Balance Sheets" \l 2 </w:instrText>
      </w:r>
      <w:r>
        <w:rPr/>
        <w:fldChar w:fldCharType="separate"/>
      </w:r>
      <w:r>
        <w:rPr/>
      </w:r>
      <w:r>
        <w:rPr/>
        <w:fldChar w:fldCharType="end"/>
      </w:r>
      <w:r>
        <w:rPr/>
        <w:t xml:space="preserve">  Attached hereto as </w:t>
      </w:r>
      <w:r>
        <w:rPr>
          <w:u w:val="single"/>
        </w:rPr>
        <w:t>Schedule 3.11</w:t>
      </w:r>
      <w:r>
        <w:rPr/>
        <w:t xml:space="preserve"> is: (a) an unaudited consolidated balance sheet of BV1.5 as of April 30, 2001</w:t>
      </w:r>
      <w:r>
        <w:rPr>
          <w:b/>
        </w:rPr>
        <w:t xml:space="preserve"> </w:t>
      </w:r>
      <w:r>
        <w:rPr/>
        <w:t>(the "</w:t>
      </w:r>
      <w:r>
        <w:rPr>
          <w:u w:val="single"/>
        </w:rPr>
        <w:t>Consolidated Balance Sheet</w:t>
      </w:r>
      <w:r>
        <w:rPr/>
        <w:t>"), (b) an unaudited balance sheet of BV1.5 as of April 30, 2001 (the "</w:t>
      </w:r>
      <w:r>
        <w:rPr>
          <w:u w:val="single"/>
        </w:rPr>
        <w:t>BV1.5 Balance Sheet</w:t>
      </w:r>
      <w:r>
        <w:rPr/>
        <w:t>"), (c) an unaudited balance sheet of BV2 as of April 30, 2001</w:t>
      </w:r>
      <w:r>
        <w:rPr>
          <w:b/>
        </w:rPr>
        <w:t xml:space="preserve"> </w:t>
      </w:r>
      <w:r>
        <w:rPr/>
        <w:t>(the "</w:t>
      </w:r>
      <w:r>
        <w:rPr>
          <w:u w:val="single"/>
        </w:rPr>
        <w:t>BV2 Balance Sheet</w:t>
      </w:r>
      <w:r>
        <w:rPr/>
        <w:t>"), (d) an unaudited balance sheet of EILLC as of April 30, 2001 (the "</w:t>
      </w:r>
      <w:r>
        <w:rPr>
          <w:u w:val="single"/>
        </w:rPr>
        <w:t>EILLC Balance Sheet</w:t>
      </w:r>
      <w:r>
        <w:rPr/>
        <w:t>"), together with the notes thereto, and (e) an unaudited balance sheet of the Project Company as of April 30, 2001 (the "</w:t>
      </w:r>
      <w:r>
        <w:rPr>
          <w:u w:val="single"/>
        </w:rPr>
        <w:t>Project Company Balance Sheet</w:t>
      </w:r>
      <w:r>
        <w:rPr/>
        <w:t>").  Collectively, the Consolidated Balance Sheet, the BV1.5 Balance Sheet, the BV2 Balance Sheet, the EILLC Balance Sheet and the Project Company Balance Sheet are referred to as the "</w:t>
      </w:r>
      <w:r>
        <w:rPr>
          <w:u w:val="single"/>
        </w:rPr>
        <w:t>Balance Sheets</w:t>
      </w:r>
      <w:r>
        <w:rPr/>
        <w:t>".  The Balance Sheets have been prepared in accordance with each entity’s applicable policies and procedures, which are in accordance with applicable statutory requirements and GAAP, and present fairly the financial condition and results of operations of each of the entities as of the date referred to therein in accordance with GAAP, subject to normal year-end adjustments and the absence of notes.  As of the date hereof, none of the Group Companies has any liabilities or obligations that are required by GAAP to be recorded on such company's Balance Sheets, except as provided on the Balance Sheets or pursuant to the Existing Contracts, the Budget and/or the Additional Contracts.</w:t>
      </w:r>
    </w:p>
    <w:p>
      <w:pPr>
        <w:pStyle w:val="Normal"/>
        <w:jc w:val="both"/>
        <w:rPr/>
      </w:pPr>
      <w:r>
        <w:rPr/>
      </w:r>
    </w:p>
    <w:p>
      <w:pPr>
        <w:pStyle w:val="Normal"/>
        <w:numPr>
          <w:ilvl w:val="1"/>
          <w:numId w:val="1"/>
        </w:numPr>
        <w:jc w:val="both"/>
        <w:rPr/>
      </w:pPr>
      <w:r>
        <w:rPr>
          <w:u w:val="single"/>
        </w:rPr>
        <w:t>Conduct Relative to Foreign Public Officials in International Business Transactions</w:t>
      </w:r>
      <w:r>
        <w:fldChar w:fldCharType="begin"/>
      </w:r>
      <w:r>
        <w:rPr/>
        <w:instrText xml:space="preserve"> TC "Section 3.12</w:instrText>
        <w:tab/>
        <w:instrText xml:space="preserve">Conduct Relative to Foreign Public Officials in International Business Transactions" \l 2 </w:instrText>
      </w:r>
      <w:r>
        <w:rPr/>
        <w:fldChar w:fldCharType="separate"/>
      </w:r>
      <w:r>
        <w:rPr/>
      </w:r>
      <w:r>
        <w:rPr/>
        <w:fldChar w:fldCharType="end"/>
      </w:r>
      <w:r>
        <w:rPr/>
        <w:t>.</w:t>
      </w:r>
    </w:p>
    <w:p>
      <w:pPr>
        <w:pStyle w:val="Normal"/>
        <w:rPr/>
      </w:pPr>
      <w:r>
        <w:rPr/>
      </w:r>
    </w:p>
    <w:p>
      <w:pPr>
        <w:pStyle w:val="ArticleL3"/>
        <w:numPr>
          <w:ilvl w:val="2"/>
          <w:numId w:val="1"/>
        </w:numPr>
        <w:rPr/>
      </w:pPr>
      <w:r>
        <w:rPr/>
        <w:t>None of the Seller (in connection with the Project) or the Group Companies has, in violation of the laws and regulations of applicable Governmental Authorities to obtain or retain business, directly or indirectly offered, paid, or promised to pay, or authorized the payment of, any money or other thing of value or any commission payment to:</w:t>
      </w:r>
    </w:p>
    <w:p>
      <w:pPr>
        <w:pStyle w:val="ArticleL3"/>
        <w:numPr>
          <w:ilvl w:val="3"/>
          <w:numId w:val="1"/>
        </w:numPr>
        <w:rPr/>
      </w:pPr>
      <w:r>
        <w:rPr/>
        <w:t>Any person who is an official, officer, agent, employee or representative of any Governmental Authority, or of any existing or prospective customer (whether government-owned or non-government-owned);</w:t>
      </w:r>
    </w:p>
    <w:p>
      <w:pPr>
        <w:pStyle w:val="ArticleL3"/>
        <w:numPr>
          <w:ilvl w:val="3"/>
          <w:numId w:val="1"/>
        </w:numPr>
        <w:rPr/>
      </w:pPr>
      <w:r>
        <w:rPr/>
        <w:t>Any political party or official thereof;</w:t>
      </w:r>
    </w:p>
    <w:p>
      <w:pPr>
        <w:pStyle w:val="ArticleL3"/>
        <w:numPr>
          <w:ilvl w:val="3"/>
          <w:numId w:val="1"/>
        </w:numPr>
        <w:rPr/>
      </w:pPr>
      <w:r>
        <w:rPr/>
        <w:t>Any candidate for political or political party office; or</w:t>
      </w:r>
    </w:p>
    <w:p>
      <w:pPr>
        <w:pStyle w:val="ArticleL3"/>
        <w:numPr>
          <w:ilvl w:val="3"/>
          <w:numId w:val="1"/>
        </w:numPr>
        <w:rPr/>
      </w:pPr>
      <w:r>
        <w:rPr/>
        <w:t>Any other individual or entity,</w:t>
      </w:r>
    </w:p>
    <w:p>
      <w:pPr>
        <w:pStyle w:val="NumContinue"/>
        <w:keepNext w:val="false"/>
        <w:keepLines w:val="false"/>
        <w:tabs>
          <w:tab w:val="clear" w:pos="4680"/>
        </w:tabs>
        <w:spacing w:before="0" w:after="0"/>
        <w:ind w:hanging="0" w:end="0"/>
        <w:rPr/>
      </w:pPr>
      <w:r>
        <w:rPr/>
        <w:t>while knowing or having reason to believe that all or any portion of such money or thing of value would be offered, given, or promised, directly or indirectly, to any such official, officer, agent, employee, representative, political party, political party official, candidate, individual or any entity affiliated with such customer, political party or official, or political office.</w:t>
      </w:r>
    </w:p>
    <w:p>
      <w:pPr>
        <w:pStyle w:val="NumContinue"/>
        <w:keepNext w:val="false"/>
        <w:keepLines w:val="false"/>
        <w:tabs>
          <w:tab w:val="clear" w:pos="4680"/>
        </w:tabs>
        <w:spacing w:before="0" w:after="0"/>
        <w:ind w:hanging="0" w:end="0"/>
        <w:rPr/>
      </w:pPr>
      <w:r>
        <w:rPr/>
      </w:r>
    </w:p>
    <w:p>
      <w:pPr>
        <w:pStyle w:val="ArticleL3"/>
        <w:numPr>
          <w:ilvl w:val="2"/>
          <w:numId w:val="1"/>
        </w:numPr>
        <w:rPr/>
      </w:pPr>
      <w:r>
        <w:rPr/>
        <w:t>Each of the Seller (in connection with the Project) and the Group Companies is and has at all times been in compliance with the United States Foreign Corrupt Practices Act and judicial interpretations construing the same, as well as similar laws, regulations and rulings or requirements having the force of law issued by other applicable Governmental Authorities and judicial interpretations of the foregoing, and maintains policies and procedures for purposes of effectuating such compliance.</w:t>
      </w:r>
    </w:p>
    <w:p>
      <w:pPr>
        <w:pStyle w:val="ArticleL3"/>
        <w:numPr>
          <w:ilvl w:val="2"/>
          <w:numId w:val="1"/>
        </w:numPr>
        <w:rPr/>
      </w:pPr>
      <w:r>
        <w:rPr/>
        <w:t>Each of the Seller (in connection with the Project) and the Group Companies maintains a system of internal accounting controls designed to insure that it maintains no off-the-books accounts and that BV1.5’s assets are used only in accordance with its management directives.</w:t>
      </w:r>
    </w:p>
    <w:p>
      <w:pPr>
        <w:pStyle w:val="Normal"/>
        <w:numPr>
          <w:ilvl w:val="1"/>
          <w:numId w:val="1"/>
        </w:numPr>
        <w:jc w:val="both"/>
        <w:rPr/>
      </w:pPr>
      <w:r>
        <w:rPr>
          <w:u w:val="single"/>
        </w:rPr>
        <w:t>Environmental Matters</w:t>
      </w:r>
      <w:r>
        <w:rPr/>
        <w:t>. To the Seller’s knowledge, e</w:t>
      </w:r>
      <w:r>
        <w:fldChar w:fldCharType="begin"/>
      </w:r>
      <w:r>
        <w:rPr/>
        <w:instrText xml:space="preserve"> TC "Section 3.13</w:instrText>
        <w:tab/>
        <w:instrText xml:space="preserve">Environmental Matters" \l 2 </w:instrText>
      </w:r>
      <w:r>
        <w:rPr/>
        <w:fldChar w:fldCharType="separate"/>
      </w:r>
      <w:r>
        <w:rPr/>
      </w:r>
      <w:r>
        <w:rPr/>
        <w:fldChar w:fldCharType="end"/>
      </w:r>
      <w:r>
        <w:rPr/>
        <w:t>ach of the Group Companies has obtained or made application for all material environmental permits required under applicable environmental laws and regulations to the extent reasonably required to be obtained or applied for in accordance with the timing of the development of the Project as currently contemplated by the Amended and Restated Onshore EPC Contract between the Project Company and Constructora Cogeneración de Monterrey, S.A. de C.V. executed November 4, 2000 (as amended on March 29, 2001).  None of the Group Companies has conducted, or is aware of any violation of any applicable environmental laws and regulations in relation to the Project Site or any infrastructure involved in the provision of services or materials to the Project Site, which violation could be reasonably expected to have a material adverse effect on the Group Companies.</w:t>
      </w:r>
      <w:r>
        <w:rPr>
          <w:b/>
        </w:rPr>
        <w:t xml:space="preserve"> </w:t>
      </w:r>
      <w:r>
        <w:rPr/>
        <w:t xml:space="preserve">Each of the Group Companies has made available to the Purchaser during the Purchaser’s due diligence review true and complete copies of all material environmental health and safety audit reports and environmental assessments regarding the Project Site prepared by or on behalf of the Seller or its Affiliates that are in the possession of the Seller or its Affiliates. </w:t>
      </w:r>
    </w:p>
    <w:p>
      <w:pPr>
        <w:pStyle w:val="Normal"/>
        <w:jc w:val="both"/>
        <w:rPr/>
      </w:pPr>
      <w:r>
        <w:rPr/>
      </w:r>
    </w:p>
    <w:p>
      <w:pPr>
        <w:pStyle w:val="Normal"/>
        <w:numPr>
          <w:ilvl w:val="1"/>
          <w:numId w:val="1"/>
        </w:numPr>
        <w:jc w:val="both"/>
        <w:rPr/>
      </w:pPr>
      <w:r>
        <w:rPr>
          <w:u w:val="single"/>
        </w:rPr>
        <w:t>First Disbursement</w:t>
      </w:r>
      <w:r>
        <w:rPr/>
        <w:t>.</w:t>
      </w:r>
      <w:r>
        <w:fldChar w:fldCharType="begin"/>
      </w:r>
      <w:r>
        <w:rPr/>
        <w:instrText xml:space="preserve"> TC "Section 3.14</w:instrText>
        <w:tab/>
        <w:instrText xml:space="preserve">First Disbursement" \l 2 </w:instrText>
      </w:r>
      <w:r>
        <w:rPr/>
        <w:fldChar w:fldCharType="separate"/>
      </w:r>
      <w:r>
        <w:rPr/>
      </w:r>
      <w:r>
        <w:rPr/>
        <w:fldChar w:fldCharType="end"/>
      </w:r>
      <w:r>
        <w:rPr/>
        <w:t xml:space="preserve"> </w:t>
      </w:r>
      <w:r>
        <w:rPr>
          <w:u w:val="single"/>
        </w:rPr>
        <w:t>Schedule 3.14</w:t>
      </w:r>
      <w:r>
        <w:rPr/>
        <w:t xml:space="preserve"> sets forth a true, correct and complete list of all documents executed or delivered in connection with First Disbursement, as such term is defined in the Financing Documents.</w:t>
      </w:r>
    </w:p>
    <w:p>
      <w:pPr>
        <w:pStyle w:val="Normal"/>
        <w:jc w:val="both"/>
        <w:rPr/>
      </w:pPr>
      <w:r>
        <w:rPr/>
      </w:r>
    </w:p>
    <w:p>
      <w:pPr>
        <w:pStyle w:val="Normal"/>
        <w:numPr>
          <w:ilvl w:val="1"/>
          <w:numId w:val="1"/>
        </w:numPr>
        <w:jc w:val="both"/>
        <w:rPr/>
      </w:pPr>
      <w:r>
        <w:rPr>
          <w:u w:val="single"/>
        </w:rPr>
        <w:t>Disclosure</w:t>
      </w:r>
      <w:r>
        <w:rPr/>
        <w:t>.</w:t>
      </w:r>
      <w:r>
        <w:fldChar w:fldCharType="begin"/>
      </w:r>
      <w:r>
        <w:rPr/>
        <w:instrText xml:space="preserve"> TC "Section 3.15</w:instrText>
        <w:tab/>
        <w:instrText xml:space="preserve">Disclosure" \l 2 </w:instrText>
      </w:r>
      <w:r>
        <w:rPr/>
        <w:fldChar w:fldCharType="separate"/>
      </w:r>
      <w:r>
        <w:rPr/>
      </w:r>
      <w:r>
        <w:rPr/>
        <w:fldChar w:fldCharType="end"/>
      </w:r>
      <w:r>
        <w:rPr/>
        <w:t xml:space="preserve">  No representation or warranty of the Seller in this Agreement omits to state a fact necessary to make the statements herein, in light of the circumstances in which they were made, not materially misleading.</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suff w:val="space"/>
      <w:lvlText w:val="ARTICLE %1"/>
      <w:lvlJc w:val="center"/>
      <w:pPr>
        <w:tabs>
          <w:tab w:val="num" w:pos="0"/>
        </w:tabs>
        <w:ind w:start="360" w:hanging="72"/>
      </w:pPr>
    </w:lvl>
    <w:lvl w:ilvl="1">
      <w:start w:val="1"/>
      <w:isLgl/>
      <w:numFmt w:val="decimal"/>
      <w:lvlText w:val="Section %1.%2"/>
      <w:lvlJc w:val="start"/>
      <w:pPr>
        <w:tabs>
          <w:tab w:val="num" w:pos="1800"/>
        </w:tabs>
        <w:ind w:start="0" w:firstLine="720"/>
      </w:pPr>
    </w:lvl>
    <w:lvl w:ilvl="2">
      <w:start w:val="1"/>
      <w:numFmt w:val="lowerLetter"/>
      <w:lvlText w:val="(%3)"/>
      <w:lvlJc w:val="start"/>
      <w:pPr>
        <w:tabs>
          <w:tab w:val="num" w:pos="1800"/>
        </w:tabs>
        <w:ind w:start="720" w:firstLine="720"/>
      </w:pPr>
      <w:rPr>
        <w:i w:val="false"/>
        <w:b w:val="false"/>
      </w:rPr>
    </w:lvl>
    <w:lvl w:ilvl="3">
      <w:start w:val="1"/>
      <w:numFmt w:val="lowerRoman"/>
      <w:lvlText w:val="(%4)"/>
      <w:lvlJc w:val="start"/>
      <w:pPr>
        <w:tabs>
          <w:tab w:val="num" w:pos="2880"/>
        </w:tabs>
        <w:ind w:start="1440" w:firstLine="720"/>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2">
    <w:name w:val="WW8Num1z2"/>
    <w:qFormat/>
    <w:rPr>
      <w:b w:val="false"/>
      <w:i w:val="false"/>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szCs w:val="20"/>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spacing w:before="0" w:after="240"/>
      <w:ind w:firstLine="720" w:start="0" w:end="0"/>
      <w:jc w:val="both"/>
    </w:pPr>
    <w:rPr>
      <w:szCs w:val="20"/>
    </w:rPr>
  </w:style>
  <w:style w:type="paragraph" w:styleId="ArticleHeading">
    <w:name w:val="Article Heading"/>
    <w:basedOn w:val="Normal"/>
    <w:qFormat/>
    <w:pPr>
      <w:keepNext w:val="true"/>
      <w:keepLines/>
      <w:numPr>
        <w:ilvl w:val="0"/>
        <w:numId w:val="1"/>
      </w:numPr>
      <w:tabs>
        <w:tab w:val="clear" w:pos="720"/>
        <w:tab w:val="center" w:pos="4680" w:leader="none"/>
      </w:tabs>
      <w:jc w:val="center"/>
    </w:pPr>
    <w:rPr>
      <w:szCs w:val="20"/>
    </w:rPr>
  </w:style>
  <w:style w:type="paragraph" w:styleId="NumContinue">
    <w:name w:val="Num Continue"/>
    <w:basedOn w:val="BodyText"/>
    <w:qFormat/>
    <w:pPr>
      <w:keepNext w:val="true"/>
      <w:keepLines/>
      <w:tabs>
        <w:tab w:val="clear" w:pos="720"/>
        <w:tab w:val="center" w:pos="4680" w:leader="none"/>
      </w:tabs>
      <w:spacing w:before="0" w:after="240"/>
      <w:ind w:firstLine="720" w:start="0" w:end="0"/>
      <w:jc w:val="both"/>
    </w:pPr>
    <w:rPr>
      <w:szCs w:val="20"/>
    </w:rPr>
  </w:style>
  <w:style w:type="paragraph" w:styleId="ArticleL3">
    <w:name w:val="Article_L3"/>
    <w:basedOn w:val="Normal"/>
    <w:next w:val="NumContinue"/>
    <w:qFormat/>
    <w:pPr>
      <w:spacing w:before="0" w:after="120"/>
      <w:jc w:val="both"/>
      <w:outlineLvl w:val="2"/>
    </w:pPr>
    <w:rPr>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2001-10-17T11:26:00Z</dcterms:created>
  <dc:creator>rgeorge</dc:creator>
  <dc:description/>
  <dc:language>en-CA</dc:language>
  <cp:lastModifiedBy>dmille2</cp:lastModifiedBy>
  <dcterms:modified xsi:type="dcterms:W3CDTF">2001-10-17T11:26:00Z</dcterms:modified>
  <cp:revision>2</cp:revision>
  <dc:subject/>
  <dc:title>SALE OF MONTERREY, MEXICO POWER PLANT</dc:title>
</cp:coreProperties>
</file>