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       Richard Sanders</w:t>
      </w:r>
    </w:p>
    <w:p>
      <w:pPr>
        <w:pStyle w:val="Normal"/>
        <w:rPr/>
      </w:pPr>
      <w:r>
        <w:rPr/>
      </w:r>
    </w:p>
    <w:p>
      <w:pPr>
        <w:pStyle w:val="Normal"/>
        <w:rPr/>
      </w:pPr>
      <w:r>
        <w:rPr/>
        <w:t>From:   Steve Howard</w:t>
      </w:r>
    </w:p>
    <w:p>
      <w:pPr>
        <w:pStyle w:val="Normal"/>
        <w:rPr/>
      </w:pPr>
      <w:r>
        <w:rPr/>
      </w:r>
    </w:p>
    <w:p>
      <w:pPr>
        <w:pStyle w:val="Normal"/>
        <w:rPr/>
      </w:pPr>
      <w:r>
        <w:rPr/>
        <w:t>Date:    February 2, 2001</w:t>
      </w:r>
    </w:p>
    <w:p>
      <w:pPr>
        <w:pStyle w:val="Normal"/>
        <w:rPr/>
      </w:pPr>
      <w:r>
        <w:rPr/>
      </w:r>
    </w:p>
    <w:p>
      <w:pPr>
        <w:pStyle w:val="Normal"/>
        <w:rPr/>
      </w:pPr>
      <w:r>
        <w:rPr/>
        <w:t>Re:       Continuing Deposition of Rajiv Patel</w:t>
      </w:r>
    </w:p>
    <w:p>
      <w:pPr>
        <w:pStyle w:val="Normal"/>
        <w:rPr/>
      </w:pPr>
      <w:r>
        <w:rPr/>
      </w:r>
    </w:p>
    <w:p>
      <w:pPr>
        <w:pStyle w:val="Normal"/>
        <w:spacing w:lineRule="auto" w:line="480"/>
        <w:rPr/>
      </w:pPr>
      <w:r>
        <w:rPr/>
        <w:tab/>
        <w:tab/>
        <w:t>The deposition of Rajiv Patel continued today.  I asked questions for about two hours.  The rest of the day was taken up by questions by counsel for PaineWebber.  I stayed for only a portion of these questions.</w:t>
      </w:r>
    </w:p>
    <w:p>
      <w:pPr>
        <w:pStyle w:val="Normal"/>
        <w:spacing w:lineRule="auto" w:line="480"/>
        <w:rPr/>
      </w:pPr>
      <w:r>
        <w:rPr/>
        <w:tab/>
        <w:tab/>
        <w:t>Throughout the first four days of his deposition, Patel was appealing, firm, thorough, and strong.  He is very smart and extremely well prepared.  Defense counsel collectively believe that Patel is the best plaintiff’s witness in all of the NSM cases.</w:t>
      </w:r>
    </w:p>
    <w:p>
      <w:pPr>
        <w:pStyle w:val="Normal"/>
        <w:spacing w:lineRule="auto" w:line="480"/>
        <w:rPr/>
      </w:pPr>
      <w:r>
        <w:rPr/>
        <w:tab/>
        <w:tab/>
        <w:t>Patel’s evaluation of the NSM investigation is really based on four documents:  the red herring, the two sets of road show slides, and Peter Marcus’s report (and, to a lesser extent, the “pink.”)  Patel did not read in any serious way the supplement to the red herring, the final offering memorandum, or the supplement to the final offering memorandum.</w:t>
      </w:r>
    </w:p>
    <w:p>
      <w:pPr>
        <w:pStyle w:val="Normal"/>
        <w:spacing w:lineRule="auto" w:line="480"/>
        <w:rPr/>
      </w:pPr>
      <w:r>
        <w:rPr/>
        <w:tab/>
        <w:tab/>
        <w:t xml:space="preserve">I pressed Patel for any knowledge he had that Enron or ECT Securities </w:t>
      </w:r>
      <w:r>
        <w:rPr>
          <w:u w:val="single"/>
        </w:rPr>
        <w:t>knew</w:t>
      </w:r>
      <w:r>
        <w:rPr/>
        <w:t xml:space="preserve"> at the time that any written or oral statements made to Farallon by others about NSM were false or omitted material facts.  I got little out of him other than (1) a general belief that ECT Securities, as an Initial Purchaser, should have somehow known everything; (2) an assertion that ECT Securities should have know that its own affiliate’s $725,000 “restructuring fee” was not disclosed (assuming that that fee was not in the lump sum disclosure) and therefore should have been alerted to other impending unauthorized uses of the offering proceeds, and (3) a speculation that ECT Securities as an Initial Purchaser may have been copied on invoices (requests for payment) from various improper payees prior to the closing.  Patel cited Paras. 143 (listing all of the diverted funds), 200, 213, 216, 217, 219, 220, and 221, of the proposed second amended complaint, as including allegations relevant to showing scienter by Enron or ECT Securities.  However, Patel had very little personal knowledge of the so-called facts alleged in these paragraphs</w:t>
      </w:r>
    </w:p>
    <w:p>
      <w:pPr>
        <w:pStyle w:val="Normal"/>
        <w:spacing w:lineRule="auto" w:line="480"/>
        <w:rPr/>
      </w:pPr>
      <w:r>
        <w:rPr/>
        <w:tab/>
        <w:tab/>
        <w:t>In a break, MacLeod advised me that Farallon will probably drop its allegation that inaccurate statements were made in the offering documents about the co-gen facility and Enron’s commitment to it.</w:t>
      </w:r>
    </w:p>
    <w:p>
      <w:pPr>
        <w:pStyle w:val="Normal"/>
        <w:spacing w:lineRule="auto" w:line="480"/>
        <w:rPr/>
      </w:pPr>
      <w:r>
        <w:rPr/>
        <w:tab/>
        <w:tab/>
        <w:t>The representation that the Management Company will have “complete control” does not appear verbatim in the preliminary and final offering memoranda, but those documents say the same thing, or worse, in substance.  For example, the red herring says at p. 90 that the Management Company will have “the sole and exclusive right and obligation to control, possess, and manage all business affairs of NSM.”</w:t>
      </w:r>
    </w:p>
    <w:p>
      <w:pPr>
        <w:pStyle w:val="Normal"/>
        <w:spacing w:lineRule="auto" w:line="480"/>
        <w:rPr/>
      </w:pPr>
      <w:r>
        <w:rPr/>
        <w:tab/>
        <w:tab/>
        <w:t>Farallon’s principal case against ECT Securities comes down to a complaint that Management Company (one of whose members was an ECT Securities affiliate) was supposed to see to it that the proceeds of NSM’s offering were expended for the uses disclosed in the offering memorandum, not to line the pockets of various insiders and, to some extent, professionals.  Instead tens of millions of offering proceeds were used for things not disclosed in the offering memorandum and NSM accordingly had that much less cash for the capital expenditures and operations disclosed and projected in the offering memorandum.  This is really a malfeasance claim against Management Company.  However, in order to make this a misrepresentation claim, Farallon focuses on the representation that the Management Company would have control over NSM and argues that Management Company must not have had control if such obviously improper things happened during the period of alleged Management Company control.</w:t>
      </w:r>
    </w:p>
    <w:p>
      <w:pPr>
        <w:pStyle w:val="Normal"/>
        <w:spacing w:lineRule="auto" w:line="480"/>
        <w:rPr/>
      </w:pPr>
      <w:r>
        <w:rPr/>
        <w:tab/>
        <w:tab/>
        <w:t>Also, Patel argues that, as an Initial Purchaser, ECT Securities (1) should have been aware of all of the fees to be paid out of the offering proceeds and (2) may have been copied on various requests for related-party payments before the closing.</w:t>
      </w:r>
    </w:p>
    <w:p>
      <w:pPr>
        <w:pStyle w:val="Normal"/>
        <w:spacing w:lineRule="auto" w:line="480"/>
        <w:rPr/>
      </w:pPr>
      <w:r>
        <w:rPr/>
        <w:tab/>
        <w:tab/>
        <w:t>With respect to the alleged undisclosed 1997 E &amp; Y report concluding that NSM’s controls were deficient, Patel knew nothing about it and admitted that he would not have been surprised to learn that NSM’s controls were deficient in 1997 and that reading such a report would not likely have changed his favorable view of the NSM investment.</w:t>
      </w:r>
    </w:p>
    <w:p>
      <w:pPr>
        <w:pStyle w:val="Normal"/>
        <w:spacing w:lineRule="auto" w:line="480"/>
        <w:rPr/>
      </w:pPr>
      <w:r>
        <w:rPr/>
        <w:tab/>
        <w:tab/>
        <w:t>When asked why Enron would invest $30 million in NSM if it knew that the offering materials were false, Patel speculated that Enron might have done so in order to procure a very lucrative co-gen contract.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1440" w:start="0" w:end="0"/>
    </w:pPr>
    <w:rPr/>
  </w:style>
  <w:style w:type="paragraph" w:styleId="BodyTextIndent2">
    <w:name w:val="Body Text Indent 2"/>
    <w:basedOn w:val="Normal"/>
    <w:qFormat/>
    <w:pPr>
      <w:spacing w:lineRule="auto" w:line="480"/>
      <w:ind w:firstLine="144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2001-02-03T20:01:00Z</dcterms:created>
  <dc:creator>Default</dc:creator>
  <dc:description/>
  <dc:language>en-CA</dc:language>
  <cp:lastModifiedBy>Default</cp:lastModifiedBy>
  <dcterms:modified xsi:type="dcterms:W3CDTF">2001-02-03T21:05:00Z</dcterms:modified>
  <cp:revision>7</cp:revision>
  <dc:subject/>
  <dc:title>To:       Richard Sanders</dc:title>
</cp:coreProperties>
</file>