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To:       Richard Sanders</w:t>
      </w:r>
    </w:p>
    <w:p>
      <w:pPr>
        <w:pStyle w:val="Normal"/>
        <w:rPr/>
      </w:pPr>
      <w:r>
        <w:rPr/>
      </w:r>
    </w:p>
    <w:p>
      <w:pPr>
        <w:pStyle w:val="Normal"/>
        <w:rPr/>
      </w:pPr>
      <w:r>
        <w:rPr/>
        <w:t>From:   Steve Howard</w:t>
      </w:r>
    </w:p>
    <w:p>
      <w:pPr>
        <w:pStyle w:val="Normal"/>
        <w:rPr/>
      </w:pPr>
      <w:r>
        <w:rPr/>
      </w:r>
    </w:p>
    <w:p>
      <w:pPr>
        <w:pStyle w:val="Normal"/>
        <w:rPr/>
      </w:pPr>
      <w:r>
        <w:rPr/>
        <w:t>Date:    February 1, 2001</w:t>
      </w:r>
    </w:p>
    <w:p>
      <w:pPr>
        <w:pStyle w:val="Normal"/>
        <w:rPr/>
      </w:pPr>
      <w:r>
        <w:rPr/>
      </w:r>
    </w:p>
    <w:p>
      <w:pPr>
        <w:pStyle w:val="Normal"/>
        <w:rPr/>
      </w:pPr>
      <w:r>
        <w:rPr/>
        <w:t>Re:       Continuing Deposition of Rajiv Patel</w:t>
      </w:r>
    </w:p>
    <w:p>
      <w:pPr>
        <w:pStyle w:val="Normal"/>
        <w:rPr/>
      </w:pPr>
      <w:r>
        <w:rPr/>
      </w:r>
    </w:p>
    <w:p>
      <w:pPr>
        <w:pStyle w:val="Normal"/>
        <w:spacing w:lineRule="auto" w:line="480"/>
        <w:rPr/>
      </w:pPr>
      <w:r>
        <w:rPr/>
        <w:tab/>
        <w:tab/>
        <w:t>The deposition of Rajiv Patel continued today, with NatWest’s counsel asking questions through the mid afternoon.  I then started, but did not finish, my questions.</w:t>
      </w:r>
    </w:p>
    <w:p>
      <w:pPr>
        <w:pStyle w:val="Normal"/>
        <w:spacing w:lineRule="auto" w:line="480"/>
        <w:rPr/>
      </w:pPr>
      <w:r>
        <w:rPr/>
        <w:tab/>
        <w:tab/>
        <w:t>The documents read or available to Farallon were the undated “pink” (Ex 1549), the red herring dated February 9 (?), 1998 (or undated?) (Ex 43), the supp to the red herring dated February 27, 1998 (Ex 402), the final offering memorandum dated March 2, 1998 (Ex 52), the supp to the final offering memorandum dated 3/12/98 (Ex. __), the first road show slides (Ex  1632), the second road show slides (Ex 1637), and the “draft” Marcus report (Ex 1633)  (collectively, the “Offering Documents.”).</w:t>
      </w:r>
    </w:p>
    <w:p>
      <w:pPr>
        <w:pStyle w:val="Normal"/>
        <w:spacing w:lineRule="auto" w:line="480"/>
        <w:rPr/>
      </w:pPr>
      <w:r>
        <w:rPr/>
        <w:tab/>
        <w:tab/>
        <w:t>Schiffman spent a lot of time on the warnings, disclaimers, and risk factors in these documents.</w:t>
      </w:r>
    </w:p>
    <w:p>
      <w:pPr>
        <w:pStyle w:val="Normal"/>
        <w:spacing w:lineRule="auto" w:line="480"/>
        <w:rPr/>
      </w:pPr>
      <w:r>
        <w:rPr/>
        <w:tab/>
        <w:tab/>
        <w:t>In response to my questions, Patel testified:</w:t>
      </w:r>
    </w:p>
    <w:p>
      <w:pPr>
        <w:pStyle w:val="Normal"/>
        <w:numPr>
          <w:ilvl w:val="0"/>
          <w:numId w:val="1"/>
        </w:numPr>
        <w:tabs>
          <w:tab w:val="clear" w:pos="720"/>
          <w:tab w:val="left" w:pos="0" w:leader="none"/>
        </w:tabs>
        <w:spacing w:lineRule="auto" w:line="480"/>
        <w:ind w:firstLine="1440" w:start="0" w:end="0"/>
        <w:rPr/>
      </w:pPr>
      <w:r>
        <w:rPr/>
        <w:t>No one from ECT Securities or Enron made any oral statements to Farallon about NSM.</w:t>
      </w:r>
    </w:p>
    <w:p>
      <w:pPr>
        <w:pStyle w:val="Normal"/>
        <w:numPr>
          <w:ilvl w:val="0"/>
          <w:numId w:val="1"/>
        </w:numPr>
        <w:tabs>
          <w:tab w:val="clear" w:pos="720"/>
          <w:tab w:val="left" w:pos="0" w:leader="none"/>
        </w:tabs>
        <w:spacing w:lineRule="auto" w:line="480"/>
        <w:ind w:firstLine="1440" w:start="0" w:end="0"/>
        <w:rPr/>
      </w:pPr>
      <w:r>
        <w:rPr/>
        <w:t xml:space="preserve">Neither Enron nor ECT S nor any affiliate made any statements to Farallon in writing about NSM, </w:t>
      </w:r>
      <w:r>
        <w:rPr>
          <w:u w:val="single"/>
        </w:rPr>
        <w:t>except</w:t>
      </w:r>
      <w:r>
        <w:rPr/>
        <w:t xml:space="preserve"> statements in the Offering Documents, which Patel believes ECT S is legally responsible for, because ECT S was one of four Initial Purchasers and its name is on the cover of all documents, including the road show slides, except for the Marcus report..  (Patel does not know if ECT S or Enron was actually the source of any of the information in those documents.  Patel expected ECT S to perform due diligence but not to redo work done by other Initial Purchasers.)</w:t>
      </w:r>
    </w:p>
    <w:p>
      <w:pPr>
        <w:pStyle w:val="Normal"/>
        <w:numPr>
          <w:ilvl w:val="0"/>
          <w:numId w:val="1"/>
        </w:numPr>
        <w:tabs>
          <w:tab w:val="clear" w:pos="720"/>
          <w:tab w:val="left" w:pos="0" w:leader="none"/>
        </w:tabs>
        <w:spacing w:lineRule="auto" w:line="480"/>
        <w:ind w:firstLine="1440" w:start="0" w:end="0"/>
        <w:rPr/>
      </w:pPr>
      <w:r>
        <w:rPr/>
        <w:t>If neither Enron nor ECT S had ever been involved with NSM (but someone competent was developing the co-gen facility), Farallon would have purchased NSM bonds anyway—i.e., Enron/ECT S were not unique or crucial.</w:t>
      </w:r>
    </w:p>
    <w:p>
      <w:pPr>
        <w:pStyle w:val="Normal"/>
        <w:numPr>
          <w:ilvl w:val="0"/>
          <w:numId w:val="1"/>
        </w:numPr>
        <w:tabs>
          <w:tab w:val="clear" w:pos="720"/>
          <w:tab w:val="left" w:pos="0" w:leader="none"/>
        </w:tabs>
        <w:spacing w:lineRule="auto" w:line="480"/>
        <w:ind w:firstLine="1440" w:start="0" w:end="0"/>
        <w:rPr/>
      </w:pPr>
      <w:r>
        <w:rPr/>
        <w:t>The principal information about Enron/ECT S represented to Farallon at the time of the sale was:</w:t>
      </w:r>
    </w:p>
    <w:p>
      <w:pPr>
        <w:pStyle w:val="BodyTextIndent2"/>
        <w:numPr>
          <w:ilvl w:val="1"/>
          <w:numId w:val="1"/>
        </w:numPr>
        <w:tabs>
          <w:tab w:val="clear" w:pos="720"/>
        </w:tabs>
        <w:ind w:firstLine="1440" w:start="720" w:end="0"/>
        <w:rPr/>
      </w:pPr>
      <w:r>
        <w:rPr/>
        <w:t>Enron would be a member of Management Company which would have complete control over NSM’s operations, purchasing, sales, and finances (represented in road show slides, but not other Offering Documents);</w:t>
      </w:r>
    </w:p>
    <w:p>
      <w:pPr>
        <w:pStyle w:val="BodyTextIndent2"/>
        <w:numPr>
          <w:ilvl w:val="1"/>
          <w:numId w:val="1"/>
        </w:numPr>
        <w:tabs>
          <w:tab w:val="clear" w:pos="720"/>
        </w:tabs>
        <w:ind w:firstLine="1440" w:start="720" w:end="0"/>
        <w:rPr/>
      </w:pPr>
      <w:r>
        <w:rPr/>
        <w:t>Enron would build, own, and operate a co-gen facility for NSM;  and</w:t>
      </w:r>
    </w:p>
    <w:p>
      <w:pPr>
        <w:pStyle w:val="BodyTextIndent2"/>
        <w:numPr>
          <w:ilvl w:val="1"/>
          <w:numId w:val="1"/>
        </w:numPr>
        <w:tabs>
          <w:tab w:val="clear" w:pos="720"/>
        </w:tabs>
        <w:ind w:firstLine="1440" w:start="720" w:end="0"/>
        <w:rPr/>
      </w:pPr>
      <w:r>
        <w:rPr/>
        <w:t>Enron would be buying NSM equity.  (Patel did not know that Enron was also buying subordinated debentures and Senior Subordinated Notes.)</w:t>
      </w:r>
    </w:p>
    <w:p>
      <w:pPr>
        <w:pStyle w:val="Normal"/>
        <w:numPr>
          <w:ilvl w:val="0"/>
          <w:numId w:val="1"/>
        </w:numPr>
        <w:tabs>
          <w:tab w:val="clear" w:pos="720"/>
          <w:tab w:val="left" w:pos="0" w:leader="none"/>
        </w:tabs>
        <w:spacing w:lineRule="auto" w:line="480"/>
        <w:ind w:firstLine="1440" w:start="0" w:end="0"/>
        <w:rPr/>
      </w:pPr>
      <w:r>
        <w:rPr/>
        <w:t>The only false or misleading information communicated to Farallon about Enron/ECT S was:</w:t>
      </w:r>
    </w:p>
    <w:p>
      <w:pPr>
        <w:pStyle w:val="BodyTextIndent2"/>
        <w:numPr>
          <w:ilvl w:val="1"/>
          <w:numId w:val="1"/>
        </w:numPr>
        <w:tabs>
          <w:tab w:val="clear" w:pos="720"/>
        </w:tabs>
        <w:ind w:firstLine="1440" w:start="720" w:end="0"/>
        <w:rPr/>
      </w:pPr>
      <w:r>
        <w:rPr/>
        <w:t>It was not true that the Management Company, of which Enron was a member, had complete control over NSM’s operations, purchasing, sales, and finances--else Management Company did an incredibly bad job of exercising that control, so bad that it seems unlikely that Management Company ever in fact had complete control; and</w:t>
      </w:r>
    </w:p>
    <w:p>
      <w:pPr>
        <w:pStyle w:val="BodyTextIndent2"/>
        <w:numPr>
          <w:ilvl w:val="1"/>
          <w:numId w:val="1"/>
        </w:numPr>
        <w:tabs>
          <w:tab w:val="clear" w:pos="720"/>
        </w:tabs>
        <w:ind w:firstLine="1440" w:start="720" w:end="0"/>
        <w:rPr/>
      </w:pPr>
      <w:r>
        <w:rPr/>
        <w:t>Enron/ECT S knew about and did not disclose a 1997 E&amp;Y report that concluded that NSM’s controls were deficient.</w:t>
      </w:r>
    </w:p>
    <w:p>
      <w:pPr>
        <w:pStyle w:val="Normal"/>
        <w:numPr>
          <w:ilvl w:val="0"/>
          <w:numId w:val="1"/>
        </w:numPr>
        <w:tabs>
          <w:tab w:val="clear" w:pos="720"/>
          <w:tab w:val="left" w:pos="0" w:leader="none"/>
        </w:tabs>
        <w:spacing w:lineRule="auto" w:line="480"/>
        <w:ind w:firstLine="1440" w:start="0" w:end="0"/>
        <w:rPr/>
      </w:pPr>
      <w:r>
        <w:rPr/>
        <w:t>The actions of NSM under the Management Company’s watch that strongly implied that the Management Company must not have had complete control over NSM’s operations, purchasing, sales, and finances, were:</w:t>
      </w:r>
    </w:p>
    <w:p>
      <w:pPr>
        <w:pStyle w:val="BodyTextIndent2"/>
        <w:numPr>
          <w:ilvl w:val="1"/>
          <w:numId w:val="1"/>
        </w:numPr>
        <w:tabs>
          <w:tab w:val="clear" w:pos="720"/>
        </w:tabs>
        <w:ind w:firstLine="1440" w:start="720" w:end="0"/>
        <w:rPr/>
      </w:pPr>
      <w:r>
        <w:rPr/>
        <w:t>NSM used substantial proceeds from the offering in ways contrary to the sources and uses of funds disclosures in the Offering Documents, mostly right after the closing (i.e., the related party diversions and additional fees);</w:t>
      </w:r>
    </w:p>
    <w:p>
      <w:pPr>
        <w:pStyle w:val="BodyTextIndent2"/>
        <w:numPr>
          <w:ilvl w:val="1"/>
          <w:numId w:val="1"/>
        </w:numPr>
        <w:tabs>
          <w:tab w:val="clear" w:pos="720"/>
        </w:tabs>
        <w:ind w:firstLine="1440" w:start="720" w:end="0"/>
        <w:rPr/>
      </w:pPr>
      <w:r>
        <w:rPr/>
        <w:t>NSM made a very imprudent scrap purchase (hugh quantity at price above market); and</w:t>
      </w:r>
    </w:p>
    <w:p>
      <w:pPr>
        <w:pStyle w:val="BodyTextIndent2"/>
        <w:numPr>
          <w:ilvl w:val="1"/>
          <w:numId w:val="1"/>
        </w:numPr>
        <w:tabs>
          <w:tab w:val="clear" w:pos="720"/>
        </w:tabs>
        <w:ind w:firstLine="1440" w:start="720" w:end="0"/>
        <w:rPr/>
      </w:pPr>
      <w:r>
        <w:rPr/>
        <w:t>NSM replaced bricks in the refractory in a defective manner.  (The source of Patel’s knowledge on all of these points is Busse’s presentation in October 1998.)</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800"/>
        </w:tabs>
        <w:ind w:start="1800" w:hanging="360"/>
      </w:pPr>
      <w:rPr/>
    </w:lvl>
    <w:lvl w:ilvl="1">
      <w:start w:val="1"/>
      <w:numFmt w:val="lowerLetter"/>
      <w:lvlText w:val="%2."/>
      <w:lvlJc w:val="start"/>
      <w:pPr>
        <w:tabs>
          <w:tab w:val="num" w:pos="4320"/>
        </w:tabs>
        <w:ind w:start="4320" w:hanging="2160"/>
      </w:pPr>
      <w:rPr/>
    </w:lvl>
    <w:lvl w:ilvl="2">
      <w:start w:val="1"/>
      <w:numFmt w:val="lowerRoman"/>
      <w:lvlText w:val="%3."/>
      <w:lvlJc w:val="end"/>
      <w:pPr>
        <w:tabs>
          <w:tab w:val="num" w:pos="3240"/>
        </w:tabs>
        <w:ind w:start="3240" w:hanging="180"/>
      </w:pPr>
    </w:lvl>
    <w:lvl w:ilvl="3">
      <w:start w:val="1"/>
      <w:numFmt w:val="decimal"/>
      <w:lvlText w:val="%4."/>
      <w:lvlJc w:val="start"/>
      <w:pPr>
        <w:tabs>
          <w:tab w:val="num" w:pos="3960"/>
        </w:tabs>
        <w:ind w:start="3960" w:hanging="360"/>
      </w:pPr>
    </w:lvl>
    <w:lvl w:ilvl="4">
      <w:start w:val="1"/>
      <w:numFmt w:val="lowerLetter"/>
      <w:lvlText w:val="%5."/>
      <w:lvlJc w:val="start"/>
      <w:pPr>
        <w:tabs>
          <w:tab w:val="num" w:pos="4680"/>
        </w:tabs>
        <w:ind w:start="4680" w:hanging="360"/>
      </w:pPr>
    </w:lvl>
    <w:lvl w:ilvl="5">
      <w:start w:val="1"/>
      <w:numFmt w:val="lowerRoman"/>
      <w:lvlText w:val="%6."/>
      <w:lvlJc w:val="end"/>
      <w:pPr>
        <w:tabs>
          <w:tab w:val="num" w:pos="5400"/>
        </w:tabs>
        <w:ind w:start="5400" w:hanging="180"/>
      </w:pPr>
    </w:lvl>
    <w:lvl w:ilvl="6">
      <w:start w:val="1"/>
      <w:numFmt w:val="decimal"/>
      <w:lvlText w:val="%7."/>
      <w:lvlJc w:val="start"/>
      <w:pPr>
        <w:tabs>
          <w:tab w:val="num" w:pos="6120"/>
        </w:tabs>
        <w:ind w:start="6120" w:hanging="360"/>
      </w:pPr>
    </w:lvl>
    <w:lvl w:ilvl="7">
      <w:start w:val="1"/>
      <w:numFmt w:val="lowerLetter"/>
      <w:lvlText w:val="%8."/>
      <w:lvlJc w:val="start"/>
      <w:pPr>
        <w:tabs>
          <w:tab w:val="num" w:pos="6840"/>
        </w:tabs>
        <w:ind w:start="6840" w:hanging="360"/>
      </w:pPr>
    </w:lvl>
    <w:lvl w:ilvl="8">
      <w:start w:val="1"/>
      <w:numFmt w:val="lowerRoman"/>
      <w:lvlText w:val="%9."/>
      <w:lvlJc w:val="end"/>
      <w:pPr>
        <w:tabs>
          <w:tab w:val="num" w:pos="7560"/>
        </w:tabs>
        <w:ind w:start="7560" w:hanging="18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92"/>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480"/>
      <w:ind w:firstLine="1440" w:start="0" w:end="0"/>
    </w:pPr>
    <w:rPr/>
  </w:style>
  <w:style w:type="paragraph" w:styleId="BodyTextIndent2">
    <w:name w:val="Body Text Indent 2"/>
    <w:basedOn w:val="Normal"/>
    <w:qFormat/>
    <w:pPr>
      <w:spacing w:lineRule="auto" w:line="480"/>
      <w:ind w:firstLine="1440" w:start="720" w:end="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2001-02-02T06:28:00Z</dcterms:created>
  <dc:creator>Default</dc:creator>
  <dc:description/>
  <dc:language>en-CA</dc:language>
  <cp:lastModifiedBy>Default</cp:lastModifiedBy>
  <dcterms:modified xsi:type="dcterms:W3CDTF">2001-02-02T06:28:00Z</dcterms:modified>
  <cp:revision>2</cp:revision>
  <dc:subject/>
  <dc:title>To:       Richard Sanders</dc:title>
</cp:coreProperties>
</file>