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To:       Richard Sanders</w:t>
      </w:r>
    </w:p>
    <w:p>
      <w:pPr>
        <w:pStyle w:val="Normal"/>
        <w:rPr/>
      </w:pPr>
      <w:r>
        <w:rPr/>
      </w:r>
    </w:p>
    <w:p>
      <w:pPr>
        <w:pStyle w:val="Normal"/>
        <w:rPr/>
      </w:pPr>
      <w:r>
        <w:rPr/>
        <w:t>From:   Steve Howard</w:t>
      </w:r>
    </w:p>
    <w:p>
      <w:pPr>
        <w:pStyle w:val="Normal"/>
        <w:rPr/>
      </w:pPr>
      <w:r>
        <w:rPr/>
      </w:r>
    </w:p>
    <w:p>
      <w:pPr>
        <w:pStyle w:val="Normal"/>
        <w:rPr/>
      </w:pPr>
      <w:r>
        <w:rPr/>
        <w:t>Date:    January 31, 2001</w:t>
      </w:r>
    </w:p>
    <w:p>
      <w:pPr>
        <w:pStyle w:val="Normal"/>
        <w:rPr/>
      </w:pPr>
      <w:r>
        <w:rPr/>
      </w:r>
    </w:p>
    <w:p>
      <w:pPr>
        <w:pStyle w:val="Normal"/>
        <w:rPr/>
      </w:pPr>
      <w:r>
        <w:rPr/>
        <w:t>Re:       Deposition of Rajiv Patel</w:t>
      </w:r>
    </w:p>
    <w:p>
      <w:pPr>
        <w:pStyle w:val="Normal"/>
        <w:rPr/>
      </w:pPr>
      <w:r>
        <w:rPr/>
      </w:r>
    </w:p>
    <w:p>
      <w:pPr>
        <w:pStyle w:val="Normal"/>
        <w:spacing w:lineRule="auto" w:line="480"/>
        <w:rPr/>
      </w:pPr>
      <w:r>
        <w:rPr/>
        <w:tab/>
        <w:tab/>
        <w:t>The deposition of Rajiv Patel continued today, with NatWest’s counsel still asking the questions.</w:t>
      </w:r>
    </w:p>
    <w:p>
      <w:pPr>
        <w:pStyle w:val="Normal"/>
        <w:spacing w:lineRule="auto" w:line="480"/>
        <w:rPr/>
      </w:pPr>
      <w:r>
        <w:rPr/>
        <w:tab/>
        <w:tab/>
        <w:t>Schiffman painstakingly established every written document that Patel considered, and every oral communication that he had, before Farallon decided to invest—no docs from Enron, no oral communications with Enron.  A lot of the testimony was repetitious from the first day.</w:t>
      </w:r>
    </w:p>
    <w:p>
      <w:pPr>
        <w:pStyle w:val="Normal"/>
        <w:spacing w:lineRule="auto" w:line="480"/>
        <w:rPr/>
      </w:pPr>
      <w:r>
        <w:rPr/>
        <w:tab/>
        <w:tab/>
        <w:t xml:space="preserve">Patel sat through two road shows and received two sets of road show slides.  Undoubtedly as a result of extensive deposition preparation, Patel knows virtually every page of both sets of slides by heart.  Patel spent about </w:t>
      </w:r>
      <w:r>
        <w:rPr>
          <w:u w:val="single"/>
        </w:rPr>
        <w:t>five days</w:t>
      </w:r>
      <w:r>
        <w:rPr/>
        <w:t xml:space="preserve"> preparing.</w:t>
      </w:r>
    </w:p>
    <w:p>
      <w:pPr>
        <w:pStyle w:val="Normal"/>
        <w:spacing w:lineRule="auto" w:line="480"/>
        <w:rPr/>
      </w:pPr>
      <w:r>
        <w:rPr/>
        <w:tab/>
        <w:tab/>
        <w:t>None of Patel’s contemporaneous notes at the time of the investment mention Enron.</w:t>
      </w:r>
    </w:p>
    <w:p>
      <w:pPr>
        <w:pStyle w:val="Normal"/>
        <w:spacing w:lineRule="auto" w:line="480"/>
        <w:rPr/>
      </w:pPr>
      <w:r>
        <w:rPr/>
        <w:tab/>
        <w:tab/>
        <w:t>Both sets of road show slides say that Management Company will have complete control over NSM’s operations.  The second set is even firmer than the first.  The slides show Koch on the Management Company, as well as SDI, McDonald, Enron, and Schultes.</w:t>
      </w:r>
    </w:p>
    <w:p>
      <w:pPr>
        <w:pStyle w:val="Normal"/>
        <w:spacing w:lineRule="auto" w:line="480"/>
        <w:rPr/>
      </w:pPr>
      <w:r>
        <w:rPr/>
        <w:tab/>
        <w:tab/>
        <w:t>Patel believed, principally based on Marcus’ report (p. 34), that SDI would have people in Thailand on a full time basis.  Patel thought SDI would not just provide technical assistance; through Management Co, SDI would have complete control.</w:t>
      </w:r>
    </w:p>
    <w:p>
      <w:pPr>
        <w:pStyle w:val="Normal"/>
        <w:spacing w:lineRule="auto" w:line="480"/>
        <w:rPr/>
      </w:pPr>
      <w:r>
        <w:rPr/>
        <w:tab/>
        <w:tab/>
        <w:t>Patel and Mellin calculated yield to maturity on the NSM senior sub notes as 15%.  They valued the warrants based on comparable companies.  Estimated total return with warrants was 19.4% to 25.8%.  These calculations are set forth in Ex 1636.</w:t>
      </w:r>
    </w:p>
    <w:p>
      <w:pPr>
        <w:pStyle w:val="Normal"/>
        <w:spacing w:lineRule="auto" w:line="480"/>
        <w:rPr/>
      </w:pPr>
      <w:r>
        <w:rPr/>
        <w:tab/>
        <w:tab/>
        <w:t>Patel’s rough analysis of NSM’s staying power through 1998 if prices went down was done off page 54 of the red (ex 43).  He took total cash left over at end of 1998 ($104m) and divided it by projected tons to be produced that year (650,000), got $160.  He concluded that NSM could hold out through 1998 even if the price of steel dropped $160 a ton.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1440" w:start="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2001-02-01T03:40:00Z</dcterms:created>
  <dc:creator>Default</dc:creator>
  <dc:description/>
  <dc:language>en-CA</dc:language>
  <cp:lastModifiedBy>Default</cp:lastModifiedBy>
  <dcterms:modified xsi:type="dcterms:W3CDTF">2001-02-01T04:35:00Z</dcterms:modified>
  <cp:revision>3</cp:revision>
  <dc:subject/>
  <dc:title>To:       Richard Sanders</dc:title>
</cp:coreProperties>
</file>