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Richard Sanders</w:t>
      </w:r>
    </w:p>
    <w:p>
      <w:pPr>
        <w:pStyle w:val="Normal"/>
        <w:rPr/>
      </w:pPr>
      <w:r>
        <w:rPr/>
      </w:r>
    </w:p>
    <w:p>
      <w:pPr>
        <w:pStyle w:val="Normal"/>
        <w:rPr/>
      </w:pPr>
      <w:r>
        <w:rPr/>
        <w:t>From:   Steve Howard</w:t>
      </w:r>
    </w:p>
    <w:p>
      <w:pPr>
        <w:pStyle w:val="Normal"/>
        <w:rPr/>
      </w:pPr>
      <w:r>
        <w:rPr/>
      </w:r>
    </w:p>
    <w:p>
      <w:pPr>
        <w:pStyle w:val="Normal"/>
        <w:rPr/>
      </w:pPr>
      <w:r>
        <w:rPr/>
        <w:t>Date:    January 30, 2001</w:t>
      </w:r>
    </w:p>
    <w:p>
      <w:pPr>
        <w:pStyle w:val="Normal"/>
        <w:rPr/>
      </w:pPr>
      <w:r>
        <w:rPr/>
      </w:r>
    </w:p>
    <w:p>
      <w:pPr>
        <w:pStyle w:val="Normal"/>
        <w:rPr/>
      </w:pPr>
      <w:r>
        <w:rPr/>
        <w:t>Re:       Deposition of Rajiv Patel</w:t>
      </w:r>
    </w:p>
    <w:p>
      <w:pPr>
        <w:pStyle w:val="Normal"/>
        <w:rPr/>
      </w:pPr>
      <w:r>
        <w:rPr/>
      </w:r>
    </w:p>
    <w:p>
      <w:pPr>
        <w:pStyle w:val="Normal"/>
        <w:spacing w:lineRule="auto" w:line="480"/>
        <w:rPr/>
      </w:pPr>
      <w:r>
        <w:rPr/>
        <w:tab/>
        <w:tab/>
        <w:t>The deposition of Rajiv Patel, an analyst for Farallon Capital Partners, commenced today in San Francisco.  Patel analyzed Farallon’s original NSM investment and recommended it to Bill Mellin, who made the actual investment decision for Farallon.</w:t>
      </w:r>
    </w:p>
    <w:p>
      <w:pPr>
        <w:pStyle w:val="BodyTextIndent"/>
        <w:rPr/>
      </w:pPr>
      <w:r>
        <w:rPr/>
        <w:t>Patel is Indian, very nice looking, no noticeable accent, a good combination of nice and yet firm, not at all defensive--frankly a pretty good witness.</w:t>
      </w:r>
    </w:p>
    <w:p>
      <w:pPr>
        <w:pStyle w:val="BodyTextIndent"/>
        <w:rPr/>
      </w:pPr>
      <w:r>
        <w:rPr/>
        <w:t>Howard Schiffman of Dickstein, Shapiro, NatWest’s counsel, is taking the lead.  Schiffman is basically a bully, but he can be appealing in a rough sort of way.  A jury might like him.  He did a good job of controlling both the witness and his counsel.</w:t>
      </w:r>
    </w:p>
    <w:p>
      <w:pPr>
        <w:pStyle w:val="Normal"/>
        <w:spacing w:lineRule="auto" w:line="480"/>
        <w:ind w:firstLine="1440" w:end="0"/>
        <w:rPr/>
      </w:pPr>
      <w:r>
        <w:rPr/>
        <w:t xml:space="preserve">  </w:t>
      </w:r>
      <w:r>
        <w:rPr/>
        <w:t>Patel was never asked a direct question all day about Enron, though he included Enron in his answer to one question.  (I will pursue that when I get on, because I think Patel just made a mistake.)  It was painfully obvious that Enron was not a significant factor in his communications or evaluation of the investment.  Again, I will pursue that.</w:t>
      </w:r>
    </w:p>
    <w:p>
      <w:pPr>
        <w:pStyle w:val="BodyTextIndent"/>
        <w:rPr/>
      </w:pPr>
      <w:r>
        <w:rPr/>
        <w:t>By contrast Patel often mentioned Peter Marcus and less often PaineWebber.  (Patel had a phone conversation with Marcus before Farallon invested.)  It sounded like Patel was coached to put some heat on Marcus/PaineWebber.  His basic pitch was:  in evaluating the projections, everyone knew that NSM’s revenue projections depended greatly on the price of steel, which could fluctuate wildly and everyone was just guessing, but that was okay if the investors had reliable cost projections and a significant margin for error in the revenue projections—which is exactly what Patel said they had at NSM, because Peter Marcus’s imprimatur on the cost projections made them reliable.  Patel said that he did an analysis that showed that, if the price of steel dropped by 33.3%, NSM could still operate for a year with the cash raised in the offering (assuming that it was all there) while paying off all the old bills and continuing capital expenditures on schedule</w:t>
      </w:r>
    </w:p>
    <w:p>
      <w:pPr>
        <w:pStyle w:val="Normal"/>
        <w:spacing w:lineRule="auto" w:line="480"/>
        <w:ind w:firstLine="1440" w:end="0"/>
        <w:rPr/>
      </w:pPr>
      <w:r>
        <w:rPr/>
        <w:t>Patel also reached out often to bring SDI into his answers, saying that SDI and Management Company were supposed to have “complete control of operations, purchasing, and sales.”  (One of the road show slides did in fact say that.)  Patel said:  “I trusted Management Company because SDI and Keith Busse were involved.”</w:t>
      </w:r>
    </w:p>
    <w:p>
      <w:pPr>
        <w:pStyle w:val="Normal"/>
        <w:spacing w:lineRule="auto" w:line="480"/>
        <w:ind w:firstLine="1440" w:end="0"/>
        <w:rPr/>
      </w:pPr>
      <w:r>
        <w:rPr/>
        <w:t xml:space="preserve">  </w:t>
      </w:r>
      <w:r>
        <w:rPr/>
        <w:t>Patel believed that NSM’s board was to be a figurehead only and that Schultes would not really be chief executive officer functionally, because Management Company would exercise many of the usual CEO functions.</w:t>
      </w:r>
    </w:p>
    <w:p>
      <w:pPr>
        <w:pStyle w:val="Normal"/>
        <w:spacing w:lineRule="auto" w:line="480"/>
        <w:ind w:firstLine="1440" w:end="0"/>
        <w:rPr/>
      </w:pPr>
      <w:r>
        <w:rPr/>
        <w:t>Fortunately, Patel also said (and this must reflect his lawyer’s thinking) that, as it turned out, the actions or inactions of the Management Company could not have saved NSM, given how much of the offering proceeds were siphoned off and never got to the company.  That theme is okay for Enron, because there is little evidence even suggesting that Enron knew of all of the screwy deals at closing--although I cannot find any place that Enron’s $725,000 “restructuring fee” was disclosed either, unless it was in the lump sum fee disclosure (which was not broken out and, in retrospect, was much too low, probably over $50 million too low.)  Put another way, NSM could have survived the price drop of 1998, if NSM had received all of the proceeds that it was supposed to.</w:t>
      </w:r>
    </w:p>
    <w:p>
      <w:pPr>
        <w:pStyle w:val="Normal"/>
        <w:spacing w:lineRule="auto" w:line="480"/>
        <w:ind w:firstLine="1440" w:end="0"/>
        <w:rPr/>
      </w:pPr>
      <w:r>
        <w:rPr/>
        <w:t>Schiffman spent a fair amount of time demonstrating (effectively) that nearly all of the institutional research on the steel industry turned out in late 1997 and early 1998 turned out to be wrong in major (but not always the same) ways.  In other words, nobody had a clue.   (A two-edged sword, in my opinion:  if the industry was so unstable and uncertain, shouldn’t the offering materials have said that?)</w:t>
      </w:r>
    </w:p>
    <w:p>
      <w:pPr>
        <w:pStyle w:val="Normal"/>
        <w:spacing w:lineRule="auto" w:line="480"/>
        <w:ind w:firstLine="1440" w:end="0"/>
        <w:rPr/>
      </w:pPr>
      <w:r>
        <w:rPr/>
        <w:t>Farallon had four investments in (or involved with) the steel industry in 1998 (including NSM).  All four companies defaulted.  (In one case, Farallon was short, so they made money.)  Farallon’s distressed debt unit (Mellin’s group) had poor performance in 1998, even without NSM.  All defaults were brought on by the sharp decline in steel prices.  (NSM could have withstood this decline, if everything else went according to Offering Memo, Patel says.)</w:t>
      </w:r>
    </w:p>
    <w:p>
      <w:pPr>
        <w:pStyle w:val="Normal"/>
        <w:spacing w:lineRule="auto" w:line="480"/>
        <w:ind w:firstLine="1440" w:end="0"/>
        <w:rPr/>
      </w:pPr>
      <w:r>
        <w:rPr/>
        <w:t>There was a lot of testimony about Patel’s understanding of the extent to which the NSM mill had already started up and was producing sellable steel; Patel thought (says he was told at the road shows) that the only reason that the mill was not in full production was the lack of consumables until the offering closed.  Patel says that he was told that the quality of the initial steel produced was very high.  Patel pointed to differences between the “pink” and the red herring as meaning, to him, that a lot of progress was made at the mill during January and February (1998.)  Patel was told that he should be confidant about the ramp up, because the hardest part was already over.</w:t>
      </w:r>
    </w:p>
    <w:p>
      <w:pPr>
        <w:pStyle w:val="Normal"/>
        <w:spacing w:lineRule="auto" w:line="480"/>
        <w:ind w:firstLine="1440" w:end="0"/>
        <w:rPr/>
      </w:pPr>
      <w:r>
        <w:rPr/>
        <w:t>Exhibit 1620 is copies of various Patel notes.  Enron is not mentioned anywhere.  The off-take agreements are stressed.</w:t>
      </w:r>
    </w:p>
    <w:p>
      <w:pPr>
        <w:pStyle w:val="Normal"/>
        <w:spacing w:lineRule="auto" w:line="480"/>
        <w:ind w:firstLine="1440" w:end="0"/>
        <w:rPr/>
      </w:pPr>
      <w:r>
        <w:rPr/>
        <w:t>Patel said that it wasn’t so bad that NSM lost the German bank debt, because what came in its place (sub debentures, equity, and an increased WC line) was mostly “below us.”  [That’s mostly where Enron was.]</w:t>
      </w:r>
    </w:p>
    <w:p>
      <w:pPr>
        <w:pStyle w:val="Normal"/>
        <w:spacing w:lineRule="auto" w:line="480"/>
        <w:ind w:firstLine="1440" w:end="0"/>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2001-01-31T05:05:00Z</dcterms:created>
  <dc:creator>Default</dc:creator>
  <dc:description/>
  <dc:language>en-CA</dc:language>
  <cp:lastModifiedBy>Default</cp:lastModifiedBy>
  <dcterms:modified xsi:type="dcterms:W3CDTF">2001-01-31T05:05:00Z</dcterms:modified>
  <cp:revision>2</cp:revision>
  <dc:subject/>
  <dc:title>To:       Richard Sanders</dc:title>
</cp:coreProperties>
</file>