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360"/>
        <w:rPr/>
      </w:pPr>
      <w:r>
        <w:rPr/>
        <w:t>Memorandum</w:t>
      </w:r>
    </w:p>
    <w:p>
      <w:pPr>
        <w:pStyle w:val="Normal"/>
        <w:spacing w:before="0" w:after="720"/>
        <w:rPr/>
      </w:pPr>
      <w:r>
        <w:rPr/>
      </w:r>
    </w:p>
    <w:tbl>
      <w:tblPr>
        <w:tblW w:w="9576" w:type="dxa"/>
        <w:jc w:val="start"/>
        <w:tblInd w:w="0" w:type="dxa"/>
        <w:tblLayout w:type="fixed"/>
        <w:tblCellMar>
          <w:top w:w="0" w:type="dxa"/>
          <w:start w:w="0" w:type="dxa"/>
          <w:bottom w:w="0" w:type="dxa"/>
          <w:end w:w="0" w:type="dxa"/>
        </w:tblCellMar>
      </w:tblPr>
      <w:tblGrid>
        <w:gridCol w:w="1440"/>
        <w:gridCol w:w="8136"/>
      </w:tblGrid>
      <w:tr>
        <w:trPr/>
        <w:tc>
          <w:tcPr>
            <w:tcW w:w="1440" w:type="dxa"/>
            <w:tcBorders/>
          </w:tcPr>
          <w:p>
            <w:pPr>
              <w:pStyle w:val="tblHeading"/>
              <w:spacing w:before="0" w:after="120"/>
              <w:rPr/>
            </w:pPr>
            <w:r>
              <w:rPr/>
              <w:t>To:</w:t>
            </w:r>
          </w:p>
        </w:tc>
        <w:tc>
          <w:tcPr>
            <w:tcW w:w="8136" w:type="dxa"/>
            <w:tcBorders/>
          </w:tcPr>
          <w:p>
            <w:pPr>
              <w:pStyle w:val="tblText"/>
              <w:spacing w:before="0" w:after="120"/>
              <w:ind w:hanging="0" w:start="0" w:end="216"/>
              <w:rPr/>
            </w:pPr>
            <w:r>
              <w:rPr/>
              <w:t>Richard Sanders</w:t>
            </w:r>
          </w:p>
        </w:tc>
      </w:tr>
      <w:tr>
        <w:trPr/>
        <w:tc>
          <w:tcPr>
            <w:tcW w:w="1440" w:type="dxa"/>
            <w:tcBorders/>
          </w:tcPr>
          <w:p>
            <w:pPr>
              <w:pStyle w:val="tblHeading"/>
              <w:spacing w:before="0" w:after="120"/>
              <w:rPr/>
            </w:pPr>
            <w:r>
              <w:rPr/>
              <w:t>From:</w:t>
            </w:r>
          </w:p>
        </w:tc>
        <w:tc>
          <w:tcPr>
            <w:tcW w:w="8136" w:type="dxa"/>
            <w:tcBorders/>
          </w:tcPr>
          <w:p>
            <w:pPr>
              <w:pStyle w:val="tblText"/>
              <w:spacing w:before="0" w:after="120"/>
              <w:ind w:hanging="0" w:start="0" w:end="216"/>
              <w:rPr/>
            </w:pPr>
            <w:r>
              <w:rPr/>
              <w:t>Steve Howard</w:t>
            </w:r>
          </w:p>
        </w:tc>
      </w:tr>
      <w:tr>
        <w:trPr/>
        <w:tc>
          <w:tcPr>
            <w:tcW w:w="1440" w:type="dxa"/>
            <w:tcBorders/>
          </w:tcPr>
          <w:p>
            <w:pPr>
              <w:pStyle w:val="tblHeading"/>
              <w:spacing w:before="0" w:after="120"/>
              <w:rPr/>
            </w:pPr>
            <w:r>
              <w:rPr/>
              <w:t>Date:</w:t>
            </w:r>
          </w:p>
        </w:tc>
        <w:tc>
          <w:tcPr>
            <w:tcW w:w="8136" w:type="dxa"/>
            <w:tcBorders/>
          </w:tcPr>
          <w:p>
            <w:pPr>
              <w:pStyle w:val="MemoDate"/>
              <w:spacing w:before="0" w:after="120"/>
              <w:rPr/>
            </w:pPr>
            <w:r>
              <w:rPr/>
              <w:t>February 13, 2001</w:t>
            </w:r>
          </w:p>
        </w:tc>
      </w:tr>
      <w:tr>
        <w:trPr/>
        <w:tc>
          <w:tcPr>
            <w:tcW w:w="1440" w:type="dxa"/>
            <w:tcBorders/>
          </w:tcPr>
          <w:p>
            <w:pPr>
              <w:pStyle w:val="tblHeading"/>
              <w:spacing w:before="0" w:after="120"/>
              <w:rPr/>
            </w:pPr>
            <w:r>
              <w:rPr/>
              <w:t>In Re:</w:t>
            </w:r>
          </w:p>
        </w:tc>
        <w:tc>
          <w:tcPr>
            <w:tcW w:w="8136" w:type="dxa"/>
            <w:tcBorders/>
          </w:tcPr>
          <w:p>
            <w:pPr>
              <w:pStyle w:val="tblText"/>
              <w:spacing w:before="0" w:after="120"/>
              <w:ind w:hanging="0" w:start="0" w:end="216"/>
              <w:rPr/>
            </w:pPr>
            <w:r>
              <w:rPr/>
              <w:t>Deposition of William Mellin Day #3</w:t>
            </w:r>
          </w:p>
        </w:tc>
      </w:tr>
      <w:tr>
        <w:trPr/>
        <w:tc>
          <w:tcPr>
            <w:tcW w:w="1440" w:type="dxa"/>
            <w:tcBorders/>
          </w:tcPr>
          <w:p>
            <w:pPr>
              <w:pStyle w:val="tblHeading"/>
              <w:spacing w:before="0" w:after="120"/>
              <w:rPr/>
            </w:pPr>
            <w:r>
              <w:rPr/>
              <w:t>File No.:</w:t>
            </w:r>
          </w:p>
        </w:tc>
        <w:tc>
          <w:tcPr>
            <w:tcW w:w="8136" w:type="dxa"/>
            <w:tcBorders/>
          </w:tcPr>
          <w:p>
            <w:pPr>
              <w:pStyle w:val="tblText"/>
              <w:spacing w:before="0" w:after="120"/>
              <w:ind w:hanging="0" w:start="0" w:end="216"/>
              <w:rPr/>
            </w:pPr>
            <w:r>
              <w:rPr/>
              <w:t>12169.202214</w:t>
            </w:r>
          </w:p>
        </w:tc>
      </w:tr>
      <w:tr>
        <w:trPr/>
        <w:tc>
          <w:tcPr>
            <w:tcW w:w="9576" w:type="dxa"/>
            <w:gridSpan w:val="2"/>
            <w:tcBorders>
              <w:top w:val="single" w:sz="12" w:space="0" w:color="000000"/>
            </w:tcBorders>
            <w:tcMar>
              <w:start w:w="108" w:type="dxa"/>
              <w:end w:w="108" w:type="dxa"/>
            </w:tcMar>
          </w:tcPr>
          <w:p>
            <w:pPr>
              <w:pStyle w:val="Normal"/>
              <w:snapToGrid w:val="false"/>
              <w:rPr/>
            </w:pPr>
            <w:r>
              <w:rPr/>
            </w:r>
          </w:p>
        </w:tc>
      </w:tr>
    </w:tbl>
    <w:p>
      <w:pPr>
        <w:pStyle w:val="Normal"/>
        <w:spacing w:lineRule="auto" w:line="480"/>
        <w:ind w:firstLine="1440" w:end="0"/>
        <w:jc w:val="both"/>
        <w:rPr>
          <w:rFonts w:ascii="Times New Roman" w:hAnsi="Times New Roman" w:cs="Times New Roman"/>
        </w:rPr>
      </w:pPr>
      <w:r>
        <w:rPr>
          <w:rFonts w:cs="Times New Roman" w:ascii="Times New Roman" w:hAnsi="Times New Roman"/>
        </w:rPr>
        <w:t>William Mellin's deposition continued on Wednesday, February 7, 2001.</w:t>
      </w:r>
    </w:p>
    <w:p>
      <w:pPr>
        <w:pStyle w:val="Normal"/>
        <w:spacing w:lineRule="auto" w:line="480"/>
        <w:ind w:firstLine="1440" w:end="0"/>
        <w:rPr>
          <w:rFonts w:ascii="Times New Roman" w:hAnsi="Times New Roman" w:cs="Times New Roman"/>
        </w:rPr>
      </w:pPr>
      <w:r>
        <w:rPr>
          <w:rFonts w:cs="Times New Roman" w:ascii="Times New Roman" w:hAnsi="Times New Roman"/>
        </w:rPr>
        <w:t>Kevin McCarthy, for Nat West, asked questions for two thirds of the session.  I took up the rest of the time.</w:t>
      </w:r>
    </w:p>
    <w:p>
      <w:pPr>
        <w:pStyle w:val="Normal"/>
        <w:spacing w:lineRule="auto" w:line="480"/>
        <w:ind w:firstLine="1440" w:end="0"/>
        <w:rPr>
          <w:rFonts w:ascii="Times New Roman" w:hAnsi="Times New Roman" w:cs="Times New Roman"/>
        </w:rPr>
      </w:pPr>
      <w:r>
        <w:rPr>
          <w:rFonts w:cs="Times New Roman" w:ascii="Times New Roman" w:hAnsi="Times New Roman"/>
        </w:rPr>
        <w:t>Murphy spent a lot of time going through various warnings, disclaimers and disclosed risks in the offering documents.</w:t>
      </w:r>
    </w:p>
    <w:p>
      <w:pPr>
        <w:pStyle w:val="Normal"/>
        <w:spacing w:lineRule="auto" w:line="480"/>
        <w:ind w:firstLine="1440" w:end="0"/>
        <w:rPr>
          <w:rFonts w:ascii="Times New Roman" w:hAnsi="Times New Roman" w:cs="Times New Roman"/>
        </w:rPr>
      </w:pPr>
      <w:r>
        <w:rPr>
          <w:rFonts w:cs="Times New Roman" w:ascii="Times New Roman" w:hAnsi="Times New Roman"/>
        </w:rPr>
        <w:t>When asked why NSM failed to achieve its business plan, Mellin referred to the facts reported by Keith Brisse in the October 1998 meeting.  Principally, Mellin said, NSM failed to use its cash as it said it would in the offering document, including initial diversions of proceeds, an imprudent scrap purchase, acquiring the wrong tool, poor decisions about the refactory, and certain civil engineering relating to the DRI facility.  "We thought SDI and Keith Busse would be in control of cash at the closing."</w:t>
      </w:r>
    </w:p>
    <w:p>
      <w:pPr>
        <w:pStyle w:val="Normal"/>
        <w:spacing w:lineRule="auto" w:line="480"/>
        <w:ind w:firstLine="1440" w:end="0"/>
        <w:rPr>
          <w:rFonts w:ascii="Times New Roman" w:hAnsi="Times New Roman" w:cs="Times New Roman"/>
        </w:rPr>
      </w:pPr>
      <w:r>
        <w:rPr>
          <w:rFonts w:cs="Times New Roman" w:ascii="Times New Roman" w:hAnsi="Times New Roman"/>
        </w:rPr>
        <w:t>Mellin said, "Management Company was responsible for everything that happened at the mill."  As a member of Management Company, Enron should have been involved in, or at least been aware of, all of NSM's purchases.</w:t>
      </w:r>
    </w:p>
    <w:p>
      <w:pPr>
        <w:pStyle w:val="Normal"/>
        <w:spacing w:lineRule="auto" w:line="480"/>
        <w:ind w:firstLine="1440" w:end="0"/>
        <w:rPr>
          <w:rFonts w:ascii="Times New Roman" w:hAnsi="Times New Roman" w:cs="Times New Roman"/>
        </w:rPr>
      </w:pPr>
      <w:r>
        <w:rPr>
          <w:rFonts w:cs="Times New Roman" w:ascii="Times New Roman" w:hAnsi="Times New Roman"/>
        </w:rPr>
        <w:t>[In trying to distinguish between a misrepresentation case and a malfeasance case, we may be able to work with the fact Farallon sued ECT Securities, not Enron or ECT Thailand.]</w:t>
      </w:r>
    </w:p>
    <w:p>
      <w:pPr>
        <w:pStyle w:val="Normal"/>
        <w:spacing w:lineRule="auto" w:line="480"/>
        <w:ind w:firstLine="1440" w:end="0"/>
        <w:rPr>
          <w:rFonts w:ascii="Times New Roman" w:hAnsi="Times New Roman" w:cs="Times New Roman"/>
        </w:rPr>
      </w:pPr>
      <w:r>
        <w:rPr>
          <w:rFonts w:cs="Times New Roman" w:ascii="Times New Roman" w:hAnsi="Times New Roman"/>
        </w:rPr>
        <w:t>During my questioning, Mellin would not concede that Farallon's purchases of NSM bonds on 3/2/98 were not from ECT Securities.  His position was that Farallon bought from the underwriters as a group.  He knows of no transaction records that show any of the NSM Notes passing through ECT Securities, other than the plan of distribution disclosure in the Offering Memorandum, which allocated bonds among the four Initial Purchasers in accordance with the agreed fee split (i.e., this allocation was a plug to make the fees come out.)</w:t>
      </w:r>
    </w:p>
    <w:p>
      <w:pPr>
        <w:pStyle w:val="Normal"/>
        <w:spacing w:lineRule="auto" w:line="480"/>
        <w:ind w:firstLine="1440" w:end="0"/>
        <w:rPr>
          <w:rFonts w:ascii="Times New Roman" w:hAnsi="Times New Roman" w:cs="Times New Roman"/>
        </w:rPr>
      </w:pPr>
      <w:r>
        <w:rPr>
          <w:rFonts w:cs="Times New Roman" w:ascii="Times New Roman" w:hAnsi="Times New Roman"/>
        </w:rPr>
        <w:t>[We need to find out if ECT Securities has any trading records for 3/2/98 or 3/12/98.  Also, we should find, and produce, any Enron trading records of its purchases of the "B" notes, the "C" debentures, and the equity.  Precisely which entity bought each?  What records do we have?  We should know this before Brian is deposed.]</w:t>
      </w:r>
    </w:p>
    <w:p>
      <w:pPr>
        <w:pStyle w:val="Normal"/>
        <w:spacing w:lineRule="auto" w:line="480"/>
        <w:ind w:firstLine="1440" w:end="0"/>
        <w:rPr>
          <w:rFonts w:ascii="Times New Roman" w:hAnsi="Times New Roman" w:cs="Times New Roman"/>
        </w:rPr>
      </w:pPr>
      <w:r>
        <w:rPr>
          <w:rFonts w:cs="Times New Roman" w:ascii="Times New Roman" w:hAnsi="Times New Roman"/>
        </w:rPr>
        <w:t>Mellin conceded that the NSM securities purchased by Farallon on 4/21 and 4/23/98 were not, to his knowledge, purchased from Enron or ECT Securities.</w:t>
      </w:r>
    </w:p>
    <w:p>
      <w:pPr>
        <w:pStyle w:val="Normal"/>
        <w:spacing w:lineRule="auto" w:line="480"/>
        <w:ind w:firstLine="1440" w:end="0"/>
        <w:rPr>
          <w:rFonts w:ascii="Times New Roman" w:hAnsi="Times New Roman" w:cs="Times New Roman"/>
        </w:rPr>
      </w:pPr>
      <w:r>
        <w:rPr>
          <w:rFonts w:cs="Times New Roman" w:ascii="Times New Roman" w:hAnsi="Times New Roman"/>
        </w:rPr>
        <w:t>Mellin acknowledged that, if Enron had never had any involvement in NSM's affairs, Farallon might have bought its bonds anyway.</w:t>
      </w:r>
    </w:p>
    <w:p>
      <w:pPr>
        <w:pStyle w:val="Normal"/>
        <w:spacing w:lineRule="auto" w:line="480"/>
        <w:ind w:firstLine="1440" w:end="0"/>
        <w:rPr>
          <w:rFonts w:ascii="Times New Roman" w:hAnsi="Times New Roman" w:cs="Times New Roman"/>
        </w:rPr>
      </w:pPr>
      <w:r>
        <w:rPr>
          <w:rFonts w:cs="Times New Roman" w:ascii="Times New Roman" w:hAnsi="Times New Roman"/>
        </w:rPr>
        <w:t>Mellin acknowledged that he was not misled in any way about Enron's involvement in, or commitment to, NSM's co-gen facility and that Farallon would have bought its NSM bonds even if Enron had no involvement with the co-gen facility.</w:t>
      </w:r>
    </w:p>
    <w:p>
      <w:pPr>
        <w:pStyle w:val="Normal"/>
        <w:spacing w:lineRule="auto" w:line="480"/>
        <w:ind w:firstLine="1440" w:end="0"/>
        <w:rPr>
          <w:rFonts w:ascii="Times New Roman" w:hAnsi="Times New Roman" w:cs="Times New Roman"/>
        </w:rPr>
      </w:pPr>
      <w:r>
        <w:rPr>
          <w:rFonts w:cs="Times New Roman" w:ascii="Times New Roman" w:hAnsi="Times New Roman"/>
        </w:rPr>
        <w:t>Mellin's copies of the road show slides (Ex. 1637), the supplement to the red herring (Ex. 1649), the final offering memorandum (Ex. 1647), and the supplement to the final offering memorandum (Ex. 892) contain virtually no notes.  He has no copy of the red herring, in his files at all.  He speculated that he took notes on other copies of these documents and later discarded them.</w:t>
      </w:r>
    </w:p>
    <w:p>
      <w:pPr>
        <w:pStyle w:val="Normal"/>
        <w:spacing w:lineRule="auto" w:line="480"/>
        <w:ind w:firstLine="1440" w:end="0"/>
        <w:rPr>
          <w:rFonts w:ascii="Times New Roman" w:hAnsi="Times New Roman" w:cs="Times New Roman"/>
        </w:rPr>
      </w:pPr>
      <w:r>
        <w:rPr>
          <w:rFonts w:cs="Times New Roman" w:ascii="Times New Roman" w:hAnsi="Times New Roman"/>
        </w:rPr>
        <w:t>The only untrue information given to Farallon before 3/2/98 about ECT Securities or Enron was the representation that Management Company, of which Enron would be a member, would be in complete control of NSM.</w:t>
      </w:r>
    </w:p>
    <w:p>
      <w:pPr>
        <w:pStyle w:val="Normal"/>
        <w:spacing w:lineRule="auto" w:line="480"/>
        <w:ind w:firstLine="1440" w:end="0"/>
        <w:rPr>
          <w:rFonts w:ascii="Times New Roman" w:hAnsi="Times New Roman" w:cs="Times New Roman"/>
        </w:rPr>
      </w:pPr>
      <w:r>
        <w:rPr>
          <w:rFonts w:cs="Times New Roman" w:ascii="Times New Roman" w:hAnsi="Times New Roman"/>
        </w:rPr>
        <w:t>Farallon received no documents directly from ECT Securities or Enron and spoke to no employee of ECT Securities or Enron (though he maintains that the road show presenters spoke for all of the Initial Purchasers.)</w:t>
      </w:r>
    </w:p>
    <w:p>
      <w:pPr>
        <w:pStyle w:val="Normal"/>
        <w:spacing w:lineRule="auto" w:line="480"/>
        <w:ind w:firstLine="1440" w:end="0"/>
        <w:rPr>
          <w:rFonts w:ascii="Times New Roman" w:hAnsi="Times New Roman" w:cs="Times New Roman"/>
        </w:rPr>
      </w:pPr>
      <w:r>
        <w:rPr>
          <w:rFonts w:cs="Times New Roman" w:ascii="Times New Roman" w:hAnsi="Times New Roman"/>
        </w:rPr>
        <w:t>Mellin is unsure whether he knew in March 1998 that Enron was purchasing "Bs" or "Cs."  He knew Enron was purchasing some equity.</w:t>
      </w:r>
    </w:p>
    <w:p>
      <w:pPr>
        <w:pStyle w:val="Normal"/>
        <w:spacing w:lineRule="auto" w:line="480"/>
        <w:ind w:firstLine="1440" w:end="0"/>
        <w:rPr>
          <w:rFonts w:ascii="Times New Roman" w:hAnsi="Times New Roman" w:cs="Times New Roman"/>
        </w:rPr>
      </w:pPr>
      <w:r>
        <w:rPr>
          <w:rFonts w:cs="Times New Roman" w:ascii="Times New Roman" w:hAnsi="Times New Roman"/>
        </w:rPr>
        <w:t>Mellin has no knowledge of what ECT Securities did or did not do as an Initial Purchaser or underwriter of the NSM bonds.  He doesn't know if ECT Securities or Enron was the source of any information communicated to Farallon.  He acknowledges that the Initial Purchasers may have allocated various due diligence tasks among themselves (but thinks all Initial Purchasers were "responsible" for all of the due diligence.)  He has no knowledge whether ECT Securities did any drafting or editing.  He doesn't know if any ECT Securities employees attended any road shows.</w:t>
      </w:r>
    </w:p>
    <w:p>
      <w:pPr>
        <w:pStyle w:val="Normal"/>
        <w:spacing w:lineRule="auto" w:line="480"/>
        <w:ind w:firstLine="1440" w:end="0"/>
        <w:rPr>
          <w:rFonts w:ascii="Times New Roman" w:hAnsi="Times New Roman" w:cs="Times New Roman"/>
        </w:rPr>
      </w:pPr>
      <w:r>
        <w:rPr>
          <w:rFonts w:cs="Times New Roman" w:ascii="Times New Roman" w:hAnsi="Times New Roman"/>
        </w:rPr>
        <w:t>Mellin listed the following as false representations or omissions to investors that ECT Securities knew were false or omitted:</w:t>
      </w:r>
    </w:p>
    <w:p>
      <w:pPr>
        <w:pStyle w:val="Normal"/>
        <w:spacing w:lineRule="auto" w:line="480"/>
        <w:ind w:firstLine="1440" w:end="0"/>
        <w:rPr>
          <w:rFonts w:ascii="Times New Roman" w:hAnsi="Times New Roman" w:cs="Times New Roman"/>
        </w:rPr>
      </w:pPr>
      <w:r>
        <w:rPr>
          <w:rFonts w:cs="Times New Roman" w:ascii="Times New Roman" w:hAnsi="Times New Roman"/>
        </w:rPr>
        <w:t>1.</w:t>
        <w:tab/>
        <w:t>The Management Company would be in complete control of NSM;</w:t>
      </w:r>
    </w:p>
    <w:p>
      <w:pPr>
        <w:pStyle w:val="Normal"/>
        <w:spacing w:lineRule="auto" w:line="480"/>
        <w:ind w:firstLine="1440" w:end="0"/>
        <w:rPr>
          <w:rFonts w:ascii="Times New Roman" w:hAnsi="Times New Roman" w:cs="Times New Roman"/>
        </w:rPr>
      </w:pPr>
      <w:r>
        <w:rPr>
          <w:rFonts w:cs="Times New Roman" w:ascii="Times New Roman" w:hAnsi="Times New Roman"/>
        </w:rPr>
        <w:t>2.</w:t>
        <w:tab/>
        <w:t>The new investors would transform NSM into a prudently managed Western style international enterprise;</w:t>
      </w:r>
    </w:p>
    <w:p>
      <w:pPr>
        <w:pStyle w:val="Normal"/>
        <w:spacing w:lineRule="auto" w:line="480"/>
        <w:ind w:firstLine="1440" w:end="0"/>
        <w:rPr>
          <w:rFonts w:ascii="Times New Roman" w:hAnsi="Times New Roman" w:cs="Times New Roman"/>
        </w:rPr>
      </w:pPr>
      <w:r>
        <w:rPr>
          <w:rFonts w:cs="Times New Roman" w:ascii="Times New Roman" w:hAnsi="Times New Roman"/>
        </w:rPr>
        <w:t>3.</w:t>
        <w:tab/>
        <w:t>The reasons why Koch was not purchasing NSM equity after it had earlier planned to (see 2/20 fax of NW to Farallon);</w:t>
      </w:r>
    </w:p>
    <w:p>
      <w:pPr>
        <w:pStyle w:val="Normal"/>
        <w:spacing w:lineRule="auto" w:line="480"/>
        <w:ind w:firstLine="1440" w:end="0"/>
        <w:rPr>
          <w:rFonts w:ascii="Times New Roman" w:hAnsi="Times New Roman" w:cs="Times New Roman"/>
        </w:rPr>
      </w:pPr>
      <w:r>
        <w:rPr>
          <w:rFonts w:cs="Times New Roman" w:ascii="Times New Roman" w:hAnsi="Times New Roman"/>
        </w:rPr>
        <w:t>4.</w:t>
        <w:tab/>
        <w:t>Enron's undisclosed $725,000 fee;</w:t>
      </w:r>
    </w:p>
    <w:p>
      <w:pPr>
        <w:pStyle w:val="Normal"/>
        <w:spacing w:lineRule="auto" w:line="480"/>
        <w:ind w:firstLine="1440" w:end="0"/>
        <w:rPr>
          <w:rFonts w:ascii="Times New Roman" w:hAnsi="Times New Roman" w:cs="Times New Roman"/>
        </w:rPr>
      </w:pPr>
      <w:r>
        <w:rPr>
          <w:rFonts w:cs="Times New Roman" w:ascii="Times New Roman" w:hAnsi="Times New Roman"/>
        </w:rPr>
        <w:t>5.</w:t>
        <w:tab/>
        <w:t>The undisclosed E &amp; Y report.</w:t>
      </w:r>
    </w:p>
    <w:p>
      <w:pPr>
        <w:pStyle w:val="Normal"/>
        <w:spacing w:lineRule="auto" w:line="480"/>
        <w:ind w:firstLine="1440" w:end="0"/>
        <w:rPr>
          <w:rFonts w:ascii="Times New Roman" w:hAnsi="Times New Roman" w:cs="Times New Roman"/>
        </w:rPr>
      </w:pPr>
      <w:r>
        <w:rPr>
          <w:rFonts w:cs="Times New Roman" w:ascii="Times New Roman" w:hAnsi="Times New Roman"/>
        </w:rPr>
        <w:t>When I asked Mellin why NSM failed, he responded with the following:</w:t>
      </w:r>
    </w:p>
    <w:p>
      <w:pPr>
        <w:pStyle w:val="Normal"/>
        <w:spacing w:lineRule="auto" w:line="480"/>
        <w:ind w:firstLine="756" w:start="1425" w:end="0"/>
        <w:rPr>
          <w:rFonts w:ascii="Times New Roman" w:hAnsi="Times New Roman" w:cs="Times New Roman"/>
        </w:rPr>
      </w:pPr>
      <w:r>
        <w:rPr>
          <w:rFonts w:cs="Times New Roman" w:ascii="Times New Roman" w:hAnsi="Times New Roman"/>
        </w:rPr>
        <w:t>a.</w:t>
        <w:tab/>
        <w:t xml:space="preserve">NSM's plant and equipment could not produce low cost steel; </w:t>
      </w:r>
    </w:p>
    <w:p>
      <w:pPr>
        <w:pStyle w:val="Normal"/>
        <w:spacing w:lineRule="auto" w:line="480"/>
        <w:ind w:firstLine="756" w:start="1425" w:end="0"/>
        <w:rPr>
          <w:rFonts w:ascii="Times New Roman" w:hAnsi="Times New Roman" w:cs="Times New Roman"/>
        </w:rPr>
      </w:pPr>
      <w:r>
        <w:rPr>
          <w:rFonts w:cs="Times New Roman" w:ascii="Times New Roman" w:hAnsi="Times New Roman"/>
        </w:rPr>
        <w:t>b.</w:t>
        <w:tab/>
        <w:t xml:space="preserve">The Management Company failed to impose controls on NSM; </w:t>
      </w:r>
    </w:p>
    <w:p>
      <w:pPr>
        <w:pStyle w:val="Normal"/>
        <w:spacing w:lineRule="auto" w:line="480"/>
        <w:ind w:firstLine="756" w:start="1425" w:end="0"/>
        <w:rPr>
          <w:rFonts w:ascii="Times New Roman" w:hAnsi="Times New Roman" w:cs="Times New Roman"/>
        </w:rPr>
      </w:pPr>
      <w:r>
        <w:rPr>
          <w:rFonts w:cs="Times New Roman" w:ascii="Times New Roman" w:hAnsi="Times New Roman"/>
        </w:rPr>
        <w:t>c.</w:t>
        <w:tab/>
        <w:t xml:space="preserve">Scrap and raw material costs were greater than as represented, and foolish purchases were made; </w:t>
      </w:r>
    </w:p>
    <w:p>
      <w:pPr>
        <w:pStyle w:val="Normal"/>
        <w:spacing w:lineRule="auto" w:line="480"/>
        <w:ind w:firstLine="1425" w:start="741" w:end="0"/>
        <w:rPr>
          <w:rFonts w:ascii="Times New Roman" w:hAnsi="Times New Roman" w:cs="Times New Roman"/>
        </w:rPr>
      </w:pPr>
      <w:r>
        <w:rPr>
          <w:rFonts w:cs="Times New Roman" w:ascii="Times New Roman" w:hAnsi="Times New Roman"/>
        </w:rPr>
        <w:t>d.</w:t>
        <w:tab/>
        <w:t>The hot mill was not complete;</w:t>
      </w:r>
    </w:p>
    <w:p>
      <w:pPr>
        <w:pStyle w:val="Normal"/>
        <w:spacing w:lineRule="auto" w:line="480"/>
        <w:ind w:firstLine="756" w:start="1425" w:end="0"/>
        <w:rPr>
          <w:rFonts w:ascii="Times New Roman" w:hAnsi="Times New Roman" w:cs="Times New Roman"/>
        </w:rPr>
      </w:pPr>
      <w:r>
        <w:rPr>
          <w:rFonts w:cs="Times New Roman" w:ascii="Times New Roman" w:hAnsi="Times New Roman"/>
        </w:rPr>
        <w:t>e..</w:t>
        <w:tab/>
        <w:t>SDI  was not actively involved in major portions of NSM's business;</w:t>
      </w:r>
    </w:p>
    <w:p>
      <w:pPr>
        <w:pStyle w:val="Normal"/>
        <w:spacing w:lineRule="auto" w:line="480"/>
        <w:ind w:firstLine="756" w:start="1425" w:end="0"/>
        <w:rPr>
          <w:rFonts w:ascii="Times New Roman" w:hAnsi="Times New Roman" w:cs="Times New Roman"/>
        </w:rPr>
      </w:pPr>
      <w:r>
        <w:rPr>
          <w:rFonts w:cs="Times New Roman" w:ascii="Times New Roman" w:hAnsi="Times New Roman"/>
        </w:rPr>
        <w:t>f.</w:t>
        <w:tab/>
        <w:t xml:space="preserve">Gary Heasley was not really NSM's chief financial officer; </w:t>
      </w:r>
    </w:p>
    <w:p>
      <w:pPr>
        <w:pStyle w:val="Normal"/>
        <w:spacing w:lineRule="auto" w:line="480"/>
        <w:ind w:firstLine="756" w:start="1425" w:end="0"/>
        <w:rPr>
          <w:rFonts w:ascii="Times New Roman" w:hAnsi="Times New Roman" w:cs="Times New Roman"/>
        </w:rPr>
      </w:pPr>
      <w:r>
        <w:rPr>
          <w:rFonts w:cs="Times New Roman" w:ascii="Times New Roman" w:hAnsi="Times New Roman"/>
        </w:rPr>
        <w:t>g.</w:t>
        <w:tab/>
        <w:t xml:space="preserve">NSM's risks had not been mitigated; </w:t>
      </w:r>
    </w:p>
    <w:p>
      <w:pPr>
        <w:pStyle w:val="Normal"/>
        <w:spacing w:lineRule="auto" w:line="480"/>
        <w:ind w:firstLine="756" w:start="2166" w:end="0"/>
        <w:rPr>
          <w:rFonts w:ascii="Times New Roman" w:hAnsi="Times New Roman" w:cs="Times New Roman"/>
        </w:rPr>
      </w:pPr>
      <w:r>
        <w:rPr>
          <w:rFonts w:cs="Times New Roman" w:ascii="Times New Roman" w:hAnsi="Times New Roman"/>
        </w:rPr>
        <w:t>i.</w:t>
        <w:tab/>
        <w:t xml:space="preserve">The technology represented as proven was not, </w:t>
      </w:r>
    </w:p>
    <w:p>
      <w:pPr>
        <w:pStyle w:val="Normal"/>
        <w:spacing w:lineRule="auto" w:line="480"/>
        <w:ind w:firstLine="756" w:start="2166" w:end="0"/>
        <w:rPr>
          <w:rFonts w:ascii="Times New Roman" w:hAnsi="Times New Roman" w:cs="Times New Roman"/>
        </w:rPr>
      </w:pPr>
      <w:r>
        <w:rPr>
          <w:rFonts w:cs="Times New Roman" w:ascii="Times New Roman" w:hAnsi="Times New Roman"/>
        </w:rPr>
        <w:t>ii.</w:t>
        <w:tab/>
        <w:t>Key operating assumptions were not verified; and</w:t>
      </w:r>
    </w:p>
    <w:p>
      <w:pPr>
        <w:pStyle w:val="Normal"/>
        <w:spacing w:lineRule="auto" w:line="480"/>
        <w:ind w:firstLine="756" w:start="2166" w:end="0"/>
        <w:rPr>
          <w:rFonts w:ascii="Times New Roman" w:hAnsi="Times New Roman" w:cs="Times New Roman"/>
        </w:rPr>
      </w:pPr>
      <w:r>
        <w:rPr>
          <w:rFonts w:cs="Times New Roman" w:ascii="Times New Roman" w:hAnsi="Times New Roman"/>
        </w:rPr>
        <w:t>iii.</w:t>
        <w:tab/>
        <w:t>The mill was poorly designed; and</w:t>
      </w:r>
    </w:p>
    <w:p>
      <w:pPr>
        <w:pStyle w:val="Normal"/>
        <w:spacing w:lineRule="auto" w:line="480"/>
        <w:ind w:firstLine="756" w:start="1425" w:end="0"/>
        <w:rPr>
          <w:rFonts w:ascii="Times New Roman" w:hAnsi="Times New Roman" w:cs="Times New Roman"/>
        </w:rPr>
      </w:pPr>
      <w:r>
        <w:rPr>
          <w:rFonts w:cs="Times New Roman" w:ascii="Times New Roman" w:hAnsi="Times New Roman"/>
        </w:rPr>
        <w:t>h.</w:t>
        <w:tab/>
        <w:t xml:space="preserve">NSM in fact has never produced steel of the superior quality required by Preussag and Klochner and may not ever have been capable of doing so. </w:t>
      </w:r>
    </w:p>
    <w:p>
      <w:pPr>
        <w:pStyle w:val="Normal"/>
        <w:spacing w:lineRule="auto" w:line="480"/>
        <w:ind w:firstLine="1440" w:end="0"/>
        <w:rPr>
          <w:rFonts w:ascii="Times New Roman" w:hAnsi="Times New Roman" w:cs="Times New Roman"/>
        </w:rPr>
      </w:pPr>
      <w:r>
        <w:rPr>
          <w:rFonts w:cs="Times New Roman" w:ascii="Times New Roman" w:hAnsi="Times New Roman"/>
        </w:rPr>
        <w:t>Mellin expected people at Enron to be working for Management Company full time (though not necessarily in Thailand).</w:t>
      </w:r>
    </w:p>
    <w:p>
      <w:pPr>
        <w:pStyle w:val="BodyText"/>
        <w:rPr>
          <w:rFonts w:ascii="Times New Roman" w:hAnsi="Times New Roman" w:cs="Times New Roman"/>
        </w:rPr>
      </w:pPr>
      <w:r>
        <w:rPr>
          <w:rFonts w:cs="Times New Roman" w:ascii="Times New Roman" w:hAnsi="Times New Roman"/>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408"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rkeley">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6">
              <wp:simplePos x="0" y="0"/>
              <wp:positionH relativeFrom="margin">
                <wp:posOffset>0</wp:posOffset>
              </wp:positionH>
              <wp:positionV relativeFrom="paragraph">
                <wp:posOffset>635</wp:posOffset>
              </wp:positionV>
              <wp:extent cx="5943600" cy="139700"/>
              <wp:effectExtent l="0" t="0" r="0" b="0"/>
              <wp:wrapNone/>
              <wp:docPr id="1" name="Frame2"/>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sz w:val="18"/>
                            </w:rPr>
                          </w:pPr>
                          <w:r>
                            <w:rPr>
                              <w:sz w:val="18"/>
                            </w:rPr>
                            <w:t>549065_1.DOC</w:t>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tabs>
                        <w:tab w:val="clear" w:pos="720"/>
                        <w:tab w:val="center" w:pos="4680" w:leader="none"/>
                        <w:tab w:val="right" w:pos="9360" w:leader="none"/>
                      </w:tabs>
                      <w:rPr>
                        <w:sz w:val="18"/>
                      </w:rPr>
                    </w:pPr>
                    <w:r>
                      <w:rPr>
                        <w:sz w:val="18"/>
                      </w:rPr>
                      <w:t>549065_1.DOC</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lang w:val="en-CA" w:eastAsia="en-CA"/>
      </w:rPr>
    </w:pPr>
    <w:r>
      <w:rPr>
        <w:lang w:val="en-CA" w:eastAsia="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5943600" cy="139700"/>
              <wp:effectExtent l="0" t="0" r="0" b="0"/>
              <wp:wrapNone/>
              <wp:docPr id="2" name="Frame1"/>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sz w:val="18"/>
                            </w:rPr>
                          </w:pPr>
                          <w:r>
                            <w:rPr>
                              <w:sz w:val="18"/>
                            </w:rPr>
                            <w:t>549065_1.DOC</w:t>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tabs>
                        <w:tab w:val="clear" w:pos="720"/>
                        <w:tab w:val="center" w:pos="4680" w:leader="none"/>
                        <w:tab w:val="right" w:pos="9360" w:leader="none"/>
                      </w:tabs>
                      <w:rPr>
                        <w:sz w:val="18"/>
                      </w:rPr>
                    </w:pPr>
                    <w:r>
                      <w:rPr>
                        <w:sz w:val="18"/>
                      </w:rPr>
                      <w:t>549065_1.DOC</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Memorandum to Richard Sanders</w:t>
    </w:r>
  </w:p>
  <w:p>
    <w:pPr>
      <w:pStyle w:val="Header"/>
      <w:rPr/>
    </w:pPr>
    <w:r>
      <w:rPr/>
    </w:r>
  </w:p>
  <w:p>
    <w:pPr>
      <w:pStyle w:val="Header"/>
      <w:spacing w:before="0" w:after="480"/>
      <w:rPr/>
    </w:pPr>
    <w:r>
      <w:rPr/>
      <w:t xml:space="preserve">Page </w:t>
    </w: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tterhead"/>
      <w:rPr>
        <w:spacing w:val="80"/>
        <w:sz w:val="32"/>
      </w:rPr>
    </w:pPr>
    <w:bookmarkStart w:id="0" w:name="zzmpFIXED_LHFirstPage"/>
    <w:bookmarkEnd w:id="0"/>
    <w:r>
      <w:rPr>
        <w:spacing w:val="80"/>
        <w:sz w:val="32"/>
      </w:rPr>
      <w:t>ALSCHULER GROSSMAN STEIN &amp; KAHAN LLP</w:t>
    </w:r>
  </w:p>
  <w:p>
    <w:pPr>
      <w:pStyle w:val="Letterhead"/>
      <w:spacing w:before="40" w:after="0"/>
      <w:rPr>
        <w:spacing w:val="80"/>
        <w:sz w:val="22"/>
      </w:rPr>
    </w:pPr>
    <w:r>
      <w:rPr>
        <w:spacing w:val="80"/>
        <w:sz w:val="22"/>
      </w:rPr>
      <w:t>ATTORNEYS AT LAW</w:t>
    </w:r>
  </w:p>
  <w:p>
    <w:pPr>
      <w:pStyle w:val="Header"/>
      <w:rPr>
        <w:spacing w:val="80"/>
        <w:sz w:val="22"/>
      </w:rPr>
    </w:pPr>
    <w:r>
      <w:rPr>
        <w:spacing w:val="80"/>
        <w:sz w:val="22"/>
      </w:rPr>
    </w:r>
    <w:bookmarkStart w:id="1" w:name="zzmpFIXED_LHFirstPage"/>
    <w:bookmarkStart w:id="2" w:name="zzmpFIXED_LHFirstPage"/>
    <w:bookmarkEnd w:id="2"/>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bpfile" w:val="Memo.mbp"/>
    <w:docVar w:name="DocStamp_1_DocID" w:val="C:\NrPortbl\Docs\MGARCIA\549065_1.DOC"/>
    <w:docVar w:name="DocStamp_1_IncludeDate" w:val="False"/>
    <w:docVar w:name="DocStamp_1_IncludeDraftText" w:val="False"/>
    <w:docVar w:name="DocStamp_1_IncludeTime" w:val="False"/>
    <w:docVar w:name="DocStamp_1_InsertDateAsField" w:val="False"/>
    <w:docVar w:name="DocStamp_1_TypeID" w:val="1"/>
    <w:docVar w:name="Memo_1_Alignment" w:val="0"/>
    <w:docVar w:name="Memo_1_Author" w:val="2231"/>
    <w:docVar w:name="Memo_1_ClientMatterNumber" w:val="12169.202214"/>
    <w:docVar w:name="Memo_1_DateType" w:val="mmmm d, yyyy"/>
    <w:docVar w:name="Memo_1_FirstLineIndent" w:val="1"/>
    <w:docVar w:name="Memo_1_FontName" w:val="Berkeley"/>
    <w:docVar w:name="Memo_1_FontSize" w:val="12"/>
    <w:docVar w:name="Memo_1_From" w:val="C. Stephen Howard"/>
    <w:docVar w:name="Memo_1_HeaderAdditionalText" w:val="Richard Sanders"/>
    <w:docVar w:name="Memo_1_IncludeDPhrasesInHeader" w:val="0"/>
    <w:docVar w:name="Memo_1_Recipients" w:val="Richard Sanders"/>
    <w:docVar w:name="Memo_1_Reline" w:val="Deposition of William Mellin Day #3"/>
    <w:docVar w:name="MemoLH_1_Author" w:val="2231"/>
    <w:docVar w:name="MemoLH_1_IncludeLetterheadEMail" w:val="-1"/>
    <w:docVar w:name="MemoLH_1_IncludeLetterheadFax" w:val="0"/>
    <w:docVar w:name="MemoLH_1_IncludeLetterheadName" w:val="-1"/>
    <w:docVar w:name="MemoLH_1_IncludeLetterheadPhone" w:val="-1"/>
    <w:docVar w:name="MemoLH_1_IncludeLetterheadTitle" w:val="-1"/>
    <w:docVar w:name="MemoLH_1_LetterheadEMail" w:val="showard@agsk.com"/>
    <w:docVar w:name="MemoLH_1_LetterheadFirmFax" w:val="310-552-6077"/>
    <w:docVar w:name="MemoLH_1_LetterheadFirmName" w:val="Alschuler Grossman Stein &amp; Kahan LLP"/>
    <w:docVar w:name="MemoLH_1_LetterheadFirmPhone" w:val="310-277-1226"/>
    <w:docVar w:name="MemoLH_1_LetterheadFirmURL" w:val="www.sflaw.com"/>
    <w:docVar w:name="MemoLH_1_LetterheadName" w:val="C. Stephen Howard"/>
    <w:docVar w:name="MemoLH_1_LetterheadPhone" w:val="310-407-7613"/>
    <w:docVar w:name="MemoLH_1_LetterheadTitle" w:val="Attorney At Law"/>
    <w:docVar w:name="MemoLH_1_LetterheadType" w:val="4"/>
    <w:docVar w:name="MPDocID" w:val="C:\NrPortbl\Docs\MGARCIA\549065_1.DOC"/>
    <w:docVar w:name="ReUseAuthor" w:val="2231|Howard, Steve|showard@agsk.com||Steve|C. Stephen Howard||CSH|2091\California Bar ID\43434\True|True|Howard||1|310-407-7613|Attorney At Law"/>
    <w:docVar w:name="ReuseAuthorOptions" w:val="fldID??-99999999|fldLastEditTime??1/20/2000 5:38:25 PM|cmbLetterheadType??4|chkIncludeLetterheadName??-1|chkIncludeLetterheadPhone??-1|chkIncludeLetterheadEMail??-1|chkIncludeLetterheadTitle??-1|chkIncludeLetterheadFax??0|cmbDateType??mmmm d, yyyy|cmbBodyTextAlignment??0|spnBodyTextFirstLineIndent??1|cmbNormalFontName??Berkeley|spnNormalFontSize??12"/>
    <w:docVar w:name="zzmpFixed_MacPacVersion" w:val="9.0"/>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rkeley" w:hAnsi="Berkeley" w:eastAsia="Times New Roman" w:cs="Berkeley"/>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120" w:after="360"/>
      <w:jc w:val="center"/>
      <w:outlineLvl w:val="0"/>
    </w:pPr>
    <w:rPr>
      <w:b/>
      <w:caps/>
      <w:spacing w:val="40"/>
      <w:sz w:val="28"/>
    </w:rPr>
  </w:style>
  <w:style w:type="paragraph" w:styleId="BodyText">
    <w:name w:val="Body Text"/>
    <w:basedOn w:val="Normal"/>
    <w:pPr>
      <w:spacing w:lineRule="auto" w:line="480"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tterhead">
    <w:name w:val="Letterhead"/>
    <w:qFormat/>
    <w:pPr>
      <w:widowControl/>
      <w:tabs>
        <w:tab w:val="clear" w:pos="720"/>
        <w:tab w:val="center" w:pos="1886" w:leader="none"/>
      </w:tabs>
      <w:bidi w:val="0"/>
      <w:jc w:val="center"/>
    </w:pPr>
    <w:rPr>
      <w:rFonts w:ascii="Berkeley" w:hAnsi="Berkeley" w:eastAsia="Times New Roman" w:cs="Berkeley"/>
      <w:color w:val="auto"/>
      <w:spacing w:val="2"/>
      <w:sz w:val="16"/>
      <w:szCs w:val="20"/>
      <w:lang w:val="en-US" w:eastAsia="en-CA" w:bidi="ar-SA"/>
    </w:rPr>
  </w:style>
  <w:style w:type="paragraph" w:styleId="DeliveryPhrase">
    <w:name w:val="Delivery Phrase"/>
    <w:basedOn w:val="Normal"/>
    <w:qFormat/>
    <w:pPr/>
    <w:rPr>
      <w:b/>
      <w:smallCaps/>
    </w:rPr>
  </w:style>
  <w:style w:type="paragraph" w:styleId="tblText">
    <w:name w:val="tbl Text"/>
    <w:basedOn w:val="Normal"/>
    <w:qFormat/>
    <w:pPr>
      <w:spacing w:before="0" w:after="120"/>
      <w:ind w:hanging="0" w:start="0" w:end="216"/>
    </w:pPr>
    <w:rPr/>
  </w:style>
  <w:style w:type="paragraph" w:styleId="MemoDate">
    <w:name w:val="Memo Date"/>
    <w:basedOn w:val="tblText"/>
    <w:qFormat/>
    <w:pPr/>
    <w:rPr/>
  </w:style>
  <w:style w:type="paragraph" w:styleId="MemoSignatureSub">
    <w:name w:val="Memo Signature Sub"/>
    <w:basedOn w:val="Normal"/>
    <w:qFormat/>
    <w:pPr>
      <w:spacing w:before="0" w:after="240"/>
      <w:ind w:hanging="720" w:start="720" w:end="0"/>
    </w:pPr>
    <w:rPr/>
  </w:style>
  <w:style w:type="paragraph" w:styleId="tblHeading">
    <w:name w:val="tbl Heading"/>
    <w:basedOn w:val="tblText"/>
    <w:qFormat/>
    <w:pPr/>
    <w:rPr>
      <w:b/>
    </w:rPr>
  </w:style>
  <w:style w:type="paragraph" w:styleId="BodyTextContinued">
    <w:name w:val="Body Text Continued"/>
    <w:basedOn w:val="BodyText"/>
    <w:next w:val="BodyText"/>
    <w:qFormat/>
    <w:pPr>
      <w:ind w:hanging="0" w:start="0" w:end="0"/>
    </w:pPr>
    <w:rPr/>
  </w:style>
  <w:style w:type="paragraph" w:styleId="Quote">
    <w:name w:val="Quote"/>
    <w:basedOn w:val="Normal"/>
    <w:next w:val="BodyTextContinued"/>
    <w:qFormat/>
    <w:pPr>
      <w:spacing w:before="0" w:after="240"/>
      <w:ind w:hanging="0" w:start="1440" w:end="1440"/>
    </w:pPr>
    <w:rPr/>
  </w:style>
  <w:style w:type="paragraph" w:styleId="MemoSignature">
    <w:name w:val="Memo Signature"/>
    <w:basedOn w:val="Normal"/>
    <w:qFormat/>
    <w:pPr>
      <w:keepNext w:val="true"/>
      <w:keepLines/>
      <w:ind w:hanging="0" w:start="4680" w:end="0"/>
    </w:pPr>
    <w:rPr/>
  </w:style>
  <w:style w:type="paragraph" w:styleId="LetterheadAuthor">
    <w:name w:val="Letterhead Author"/>
    <w:basedOn w:val="Letterhead"/>
    <w:qFormat/>
    <w:pPr>
      <w:tabs>
        <w:tab w:val="clear" w:pos="1886"/>
      </w:tabs>
      <w:ind w:hanging="0" w:start="115" w:end="43"/>
    </w:pPr>
    <w:rPr>
      <w:smallCap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2001-02-16T12:53:00Z</dcterms:created>
  <dc:creator>IS</dc:creator>
  <dc:description/>
  <dc:language>en-CA</dc:language>
  <cp:lastModifiedBy>Default</cp:lastModifiedBy>
  <cp:lastPrinted>2001-02-14T10:58:00Z</cp:lastPrinted>
  <dcterms:modified xsi:type="dcterms:W3CDTF">2001-02-16T12:53:00Z</dcterms:modified>
  <cp:revision>2</cp:revision>
  <dc:subject/>
  <dc:title>MEMORANDUM</dc:title>
</cp:coreProperties>
</file>