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       Richard Sanders</w:t>
      </w:r>
    </w:p>
    <w:p>
      <w:pPr>
        <w:pStyle w:val="Normal"/>
        <w:rPr/>
      </w:pPr>
      <w:r>
        <w:rPr/>
      </w:r>
    </w:p>
    <w:p>
      <w:pPr>
        <w:pStyle w:val="Normal"/>
        <w:rPr/>
      </w:pPr>
      <w:r>
        <w:rPr/>
        <w:t>From:   Steve Howard</w:t>
      </w:r>
    </w:p>
    <w:p>
      <w:pPr>
        <w:pStyle w:val="Normal"/>
        <w:rPr/>
      </w:pPr>
      <w:r>
        <w:rPr/>
      </w:r>
    </w:p>
    <w:p>
      <w:pPr>
        <w:pStyle w:val="Normal"/>
        <w:rPr/>
      </w:pPr>
      <w:r>
        <w:rPr/>
        <w:t>Date:    February 6, 2001</w:t>
      </w:r>
    </w:p>
    <w:p>
      <w:pPr>
        <w:pStyle w:val="Normal"/>
        <w:rPr/>
      </w:pPr>
      <w:r>
        <w:rPr/>
      </w:r>
    </w:p>
    <w:p>
      <w:pPr>
        <w:pStyle w:val="Normal"/>
        <w:rPr/>
      </w:pPr>
      <w:r>
        <w:rPr/>
        <w:t>Re:       Deposition of William Mellin</w:t>
      </w:r>
    </w:p>
    <w:p>
      <w:pPr>
        <w:pStyle w:val="Normal"/>
        <w:rPr/>
      </w:pPr>
      <w:r>
        <w:rPr/>
      </w:r>
    </w:p>
    <w:p>
      <w:pPr>
        <w:pStyle w:val="Normal"/>
        <w:spacing w:lineRule="auto" w:line="480"/>
        <w:rPr/>
      </w:pPr>
      <w:r>
        <w:rPr/>
        <w:tab/>
        <w:tab/>
        <w:t xml:space="preserve">The deposition of William Mellin of Farallon Capital Partners continued today in San Francisco.  The questioner all day was Kevin Murphy of Dickstein, Shapiro, NatWest’s counsel. </w:t>
      </w:r>
    </w:p>
    <w:p>
      <w:pPr>
        <w:pStyle w:val="BodyTextIndent"/>
        <w:rPr/>
      </w:pPr>
      <w:r>
        <w:rPr/>
        <w:t>Mellin presented himself similarly as the day before, except that his insistence on the most extreme positions made him appear, at least to me, rather disingenuous.  He appeared to make up far more definite and precise representations than the record would indicate.  For example, he insisted that the apparent risks in the transaction were not risks at all.  He insisted that he was told that the Management Company would make sure that no related party transactions ever occurred again.</w:t>
      </w:r>
    </w:p>
    <w:p>
      <w:pPr>
        <w:pStyle w:val="BodyTextIndent"/>
        <w:rPr/>
      </w:pPr>
      <w:r>
        <w:rPr/>
        <w:t>The major theme emerging against ECT/Enron is (1) the investors were assured that Management Company was (or would be by the closing) in complete control of NSM (See slide 10 in second road show slides:  “new  … investors have complete control of operations, including purchasing, sales, and finance…” Note present tense), (2) one of Management Company’s principal responsibilities was to prevent related party transactions, starting with the offering proceeds, (3) the investors were told that safeguards were already in place or would be by the closing, and (3) no one would have invested in NSM without these assurances about the Management Company.</w:t>
      </w:r>
    </w:p>
    <w:p>
      <w:pPr>
        <w:pStyle w:val="BodyTextIndent"/>
        <w:rPr/>
      </w:pPr>
      <w:r>
        <w:rPr/>
        <w:t>Mellin said that he was assured that Management Company would be actively involved in controlling all aspects of NSM’s business—far more than the role of a board of directors; Management Company was to be essentially the CEO of NSM.  Schultes said in the second road show, Mellin testified, that “complete control” really means complete control.  Mellin says that Management Company was to be on site all the time actively involved in the enterprise on a day-to-day basis.  Mellin expected SDI to have several people in Thailand full time.  Mellin equivocated on how much he expected Enron personnel to be in Thailand.</w:t>
      </w:r>
    </w:p>
    <w:p>
      <w:pPr>
        <w:pStyle w:val="BodyTextIndent"/>
        <w:rPr/>
      </w:pPr>
      <w:r>
        <w:rPr/>
        <w:t xml:space="preserve">In effect, Farallon is really complaining about alleged mismanagement by the Management Company, but is recasting its contentions to make this a misrepresentation claim.  Farallon does this by arguing that allowing the offering proceeds to go to various related parties was a major dereliction by the Management Company—so incredible as to be evidence that </w:t>
      </w:r>
      <w:r>
        <w:rPr>
          <w:u w:val="single"/>
        </w:rPr>
        <w:t>the representation that Management Company was in complete control must have been false</w:t>
      </w:r>
      <w:r>
        <w:rPr/>
        <w:t>.</w:t>
      </w:r>
    </w:p>
    <w:p>
      <w:pPr>
        <w:pStyle w:val="BodyTextIndent"/>
        <w:rPr/>
      </w:pPr>
      <w:r>
        <w:rPr/>
        <w:t>Mellin did not know if members of Management Company were equal; SDI was always mentioned first.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144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2001-02-07T05:14:00Z</dcterms:created>
  <dc:creator>Default</dc:creator>
  <dc:description/>
  <dc:language>en-CA</dc:language>
  <cp:lastModifiedBy>Default</cp:lastModifiedBy>
  <dcterms:modified xsi:type="dcterms:W3CDTF">2001-02-07T05:14:00Z</dcterms:modified>
  <cp:revision>2</cp:revision>
  <dc:subject/>
  <dc:title>To:       Richard Sanders</dc:title>
</cp:coreProperties>
</file>