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Richard Sanders</w:t>
      </w:r>
    </w:p>
    <w:p>
      <w:pPr>
        <w:pStyle w:val="Normal"/>
        <w:rPr/>
      </w:pPr>
      <w:r>
        <w:rPr/>
      </w:r>
    </w:p>
    <w:p>
      <w:pPr>
        <w:pStyle w:val="Normal"/>
        <w:rPr/>
      </w:pPr>
      <w:r>
        <w:rPr/>
        <w:t>From:   Steve Howard</w:t>
      </w:r>
    </w:p>
    <w:p>
      <w:pPr>
        <w:pStyle w:val="Normal"/>
        <w:rPr/>
      </w:pPr>
      <w:r>
        <w:rPr/>
      </w:r>
    </w:p>
    <w:p>
      <w:pPr>
        <w:pStyle w:val="Normal"/>
        <w:rPr/>
      </w:pPr>
      <w:r>
        <w:rPr/>
        <w:t>Date:    January 30, 2001</w:t>
      </w:r>
    </w:p>
    <w:p>
      <w:pPr>
        <w:pStyle w:val="Normal"/>
        <w:rPr/>
      </w:pPr>
      <w:r>
        <w:rPr/>
      </w:r>
    </w:p>
    <w:p>
      <w:pPr>
        <w:pStyle w:val="Normal"/>
        <w:rPr/>
      </w:pPr>
      <w:r>
        <w:rPr/>
        <w:t>Re:       Deposition of William Mellin</w:t>
      </w:r>
    </w:p>
    <w:p>
      <w:pPr>
        <w:pStyle w:val="Normal"/>
        <w:rPr/>
      </w:pPr>
      <w:r>
        <w:rPr/>
      </w:r>
    </w:p>
    <w:p>
      <w:pPr>
        <w:pStyle w:val="Normal"/>
        <w:spacing w:lineRule="auto" w:line="480"/>
        <w:rPr/>
      </w:pPr>
      <w:r>
        <w:rPr/>
        <w:tab/>
        <w:tab/>
        <w:t>The deposition of William Mellin, a partner of Farallon Capital Partners, commenced today in San Francisco.  Mellin is Rajiv Patel’s boss and is the individual at Farallon responsible for Farallon’s decisions to invest in NSM’s senior subordinated notes.</w:t>
      </w:r>
    </w:p>
    <w:p>
      <w:pPr>
        <w:pStyle w:val="BodyTextIndent"/>
        <w:rPr/>
      </w:pPr>
      <w:r>
        <w:rPr/>
        <w:t>Mellin is very clean cut and preppy looking.  He is very well prepared, but he is not as confident, persuasive, or likeable as Patel.  He is reluctant to make any concessions, even on obvious points.</w:t>
      </w:r>
    </w:p>
    <w:p>
      <w:pPr>
        <w:pStyle w:val="BodyTextIndent"/>
        <w:rPr/>
      </w:pPr>
      <w:r>
        <w:rPr/>
        <w:t>The questioner all day was Kevin Murphy of Dickstein, Shapiro, NatWest’s counsel.  Murphy is not nearly as confident or commanding as Howard Schiffman.</w:t>
      </w:r>
    </w:p>
    <w:p>
      <w:pPr>
        <w:pStyle w:val="BodyTextIndent"/>
        <w:rPr/>
      </w:pPr>
      <w:r>
        <w:rPr/>
        <w:t>Mellin has been investing in distressed debt for several years.  His track record appears to be mixed.  He has invested in a number of troubled steel companies over the years.</w:t>
      </w:r>
    </w:p>
    <w:p>
      <w:pPr>
        <w:pStyle w:val="BodyTextIndent"/>
        <w:rPr/>
      </w:pPr>
      <w:r>
        <w:rPr/>
        <w:t>After the first road show, Patel reported to Mellin, inter alia, that a consortium of Western expertise had been assembled that would be responsible for running the steel mill and that NSM would be a Western run company, not a Thai run company.</w:t>
      </w:r>
    </w:p>
    <w:p>
      <w:pPr>
        <w:pStyle w:val="BodyTextIndent"/>
        <w:rPr/>
      </w:pPr>
      <w:r>
        <w:rPr/>
        <w:t>Mellin conferred with the head of the firm, Tom Steyer, before committing to the NSM purchase; Mellin wanted to be sure that the firm had sufficient liquidity for the size of purchase that Mellin had in mind ($20 m proceeds).  Mellin pictured this consultation as not required but often done in practice.</w:t>
      </w:r>
    </w:p>
    <w:p>
      <w:pPr>
        <w:pStyle w:val="BodyTextIndent"/>
        <w:rPr/>
      </w:pPr>
      <w:r>
        <w:rPr/>
        <w:t>Mellin appears to have first expressed interest in the $20m purchase by e-mail to his Farallon salesman on 2/23 (first working day after second road show).  See Exs 1645 and 1646.</w:t>
      </w:r>
    </w:p>
    <w:p>
      <w:pPr>
        <w:pStyle w:val="BodyTextIndent"/>
        <w:rPr/>
      </w:pPr>
      <w:r>
        <w:rPr/>
        <w:t>Mellin and Patel thought that the real value in NSM was in the equity.  That’s why they went for the senior subs—</w:t>
      </w:r>
      <w:r>
        <w:rPr>
          <w:u w:val="single"/>
        </w:rPr>
        <w:t>because they had warrants attached</w:t>
      </w:r>
      <w:r>
        <w:rPr/>
        <w:t>.  Ex 1636 was Mellin/Patel’s analysis to value the warrants based on comparable publicly traded companies.</w:t>
      </w:r>
    </w:p>
    <w:p>
      <w:pPr>
        <w:pStyle w:val="BodyTextIndent"/>
        <w:rPr/>
      </w:pPr>
      <w:r>
        <w:rPr/>
        <w:t>When asked what Farallon relied on, Mellin listed 14 items:</w:t>
      </w:r>
    </w:p>
    <w:p>
      <w:pPr>
        <w:pStyle w:val="BodyTextIndent"/>
        <w:rPr/>
      </w:pPr>
      <w:r>
        <w:rPr/>
        <w:t>the first road show slides,</w:t>
      </w:r>
    </w:p>
    <w:p>
      <w:pPr>
        <w:pStyle w:val="BodyTextIndent"/>
        <w:ind w:firstLine="720" w:start="720" w:end="0"/>
        <w:rPr/>
      </w:pPr>
      <w:r>
        <w:rPr/>
        <w:t>the Marcus report,</w:t>
      </w:r>
    </w:p>
    <w:p>
      <w:pPr>
        <w:pStyle w:val="BodyTextIndent"/>
        <w:ind w:firstLine="720" w:start="720" w:end="0"/>
        <w:rPr/>
      </w:pPr>
      <w:r>
        <w:rPr/>
        <w:t>the pink,</w:t>
      </w:r>
    </w:p>
    <w:p>
      <w:pPr>
        <w:pStyle w:val="BodyTextIndent"/>
        <w:ind w:firstLine="720" w:start="720" w:end="0"/>
        <w:rPr/>
      </w:pPr>
      <w:r>
        <w:rPr/>
        <w:t>statements to Patel by Marcus,</w:t>
      </w:r>
    </w:p>
    <w:p>
      <w:pPr>
        <w:pStyle w:val="BodyTextIndent"/>
        <w:ind w:firstLine="720" w:start="720" w:end="0"/>
        <w:rPr/>
      </w:pPr>
      <w:r>
        <w:rPr/>
        <w:t>Ex 1636 (see above),</w:t>
      </w:r>
    </w:p>
    <w:p>
      <w:pPr>
        <w:pStyle w:val="BodyTextIndent"/>
        <w:ind w:firstLine="720" w:start="720" w:end="0"/>
        <w:rPr/>
      </w:pPr>
      <w:r>
        <w:rPr/>
        <w:t xml:space="preserve">the second road show slides, </w:t>
      </w:r>
    </w:p>
    <w:p>
      <w:pPr>
        <w:pStyle w:val="BodyTextIndent"/>
        <w:ind w:firstLine="720" w:start="720" w:end="0"/>
        <w:rPr/>
      </w:pPr>
      <w:r>
        <w:rPr/>
        <w:t xml:space="preserve">the red herring, </w:t>
      </w:r>
    </w:p>
    <w:p>
      <w:pPr>
        <w:pStyle w:val="BodyTextIndent"/>
        <w:ind w:firstLine="720" w:start="720" w:end="0"/>
        <w:rPr/>
      </w:pPr>
      <w:r>
        <w:rPr/>
        <w:t xml:space="preserve">the supplement to the red, </w:t>
      </w:r>
    </w:p>
    <w:p>
      <w:pPr>
        <w:pStyle w:val="BodyTextIndent"/>
        <w:ind w:firstLine="720" w:start="720" w:end="0"/>
        <w:rPr/>
      </w:pPr>
      <w:r>
        <w:rPr/>
        <w:t xml:space="preserve">the final OM, </w:t>
      </w:r>
    </w:p>
    <w:p>
      <w:pPr>
        <w:pStyle w:val="BodyTextIndent"/>
        <w:ind w:firstLine="720" w:start="720" w:end="0"/>
        <w:rPr/>
      </w:pPr>
      <w:r>
        <w:rPr/>
        <w:t xml:space="preserve">the supplement to the final OM, </w:t>
      </w:r>
    </w:p>
    <w:p>
      <w:pPr>
        <w:pStyle w:val="BodyTextIndent"/>
        <w:ind w:firstLine="720" w:start="720" w:end="0"/>
        <w:rPr/>
      </w:pPr>
      <w:r>
        <w:rPr/>
        <w:t xml:space="preserve">oral statements at the road shows in response to questions, </w:t>
      </w:r>
    </w:p>
    <w:p>
      <w:pPr>
        <w:pStyle w:val="BodyTextIndent"/>
        <w:ind w:firstLine="720" w:start="720" w:end="0"/>
        <w:rPr/>
      </w:pPr>
      <w:r>
        <w:rPr/>
        <w:t xml:space="preserve">the video about NSM that was distributed at the road shows, </w:t>
      </w:r>
    </w:p>
    <w:p>
      <w:pPr>
        <w:pStyle w:val="BodyTextIndent"/>
        <w:ind w:hanging="720" w:start="2160" w:end="0"/>
        <w:rPr/>
      </w:pPr>
      <w:r>
        <w:rPr/>
        <w:t xml:space="preserve">other analyses prepared by Mellin and Patel (e.g., Patel’s analysis of how much price drop NSM could bear during 1998), and </w:t>
      </w:r>
    </w:p>
    <w:p>
      <w:pPr>
        <w:pStyle w:val="BodyTextIndent"/>
        <w:ind w:hanging="720" w:start="2160" w:end="0"/>
        <w:rPr/>
      </w:pPr>
      <w:r>
        <w:rPr/>
        <w:t>personal relationships with, prior dealings with, and the reputations of, others involved in the transactions.</w:t>
      </w:r>
    </w:p>
    <w:p>
      <w:pPr>
        <w:pStyle w:val="BodyTextIndent"/>
        <w:rPr/>
      </w:pPr>
      <w:r>
        <w:rPr/>
        <w:t>Mellin’s and Patel’s stories generally tracked, but there were a few discrepancies.  Mellin is testifying from memorized preparation; Patel lived and breathed the documents and knows them well.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144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2001-02-06T05:29:00Z</dcterms:created>
  <dc:creator>Default</dc:creator>
  <dc:description/>
  <dc:language>en-CA</dc:language>
  <cp:lastModifiedBy>Default</cp:lastModifiedBy>
  <dcterms:modified xsi:type="dcterms:W3CDTF">2001-02-06T05:29:00Z</dcterms:modified>
  <cp:revision>2</cp:revision>
  <dc:subject/>
  <dc:title>To:       Richard Sanders</dc:title>
</cp:coreProperties>
</file>