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360"/>
        <w:rPr/>
      </w:pPr>
      <w:r>
        <w:rPr/>
        <w:t>Memorandum</w:t>
      </w:r>
    </w:p>
    <w:p>
      <w:pPr>
        <w:pStyle w:val="DeliveryPhrase"/>
        <w:numPr>
          <w:ilvl w:val="0"/>
          <w:numId w:val="0"/>
        </w:numPr>
        <w:outlineLvl w:val="0"/>
        <w:rPr/>
      </w:pPr>
      <w:r>
        <w:rPr/>
        <w:t>Confidential</w:t>
        <w:br/>
        <w:t>Attorney-Client Privilege</w:t>
      </w:r>
    </w:p>
    <w:p>
      <w:pPr>
        <w:pStyle w:val="Normal"/>
        <w:spacing w:before="0" w:after="720"/>
        <w:rPr/>
      </w:pPr>
      <w:r>
        <w:rPr/>
      </w:r>
    </w:p>
    <w:tbl>
      <w:tblPr>
        <w:tblW w:w="9576" w:type="dxa"/>
        <w:jc w:val="start"/>
        <w:tblInd w:w="0" w:type="dxa"/>
        <w:tblLayout w:type="fixed"/>
        <w:tblCellMar>
          <w:top w:w="0" w:type="dxa"/>
          <w:start w:w="0" w:type="dxa"/>
          <w:bottom w:w="0" w:type="dxa"/>
          <w:end w:w="0" w:type="dxa"/>
        </w:tblCellMar>
      </w:tblPr>
      <w:tblGrid>
        <w:gridCol w:w="1440"/>
        <w:gridCol w:w="4560"/>
        <w:gridCol w:w="600"/>
        <w:gridCol w:w="2976"/>
      </w:tblGrid>
      <w:tr>
        <w:trPr/>
        <w:tc>
          <w:tcPr>
            <w:tcW w:w="1440" w:type="dxa"/>
            <w:tcBorders/>
          </w:tcPr>
          <w:p>
            <w:pPr>
              <w:pStyle w:val="tblHeading"/>
              <w:spacing w:before="0" w:after="120"/>
              <w:rPr/>
            </w:pPr>
            <w:r>
              <w:rPr/>
              <w:t>To:</w:t>
            </w:r>
          </w:p>
        </w:tc>
        <w:tc>
          <w:tcPr>
            <w:tcW w:w="4560" w:type="dxa"/>
            <w:tcBorders/>
          </w:tcPr>
          <w:p>
            <w:pPr>
              <w:pStyle w:val="tblText"/>
              <w:spacing w:before="0" w:after="120"/>
              <w:ind w:hanging="0" w:start="0" w:end="216"/>
              <w:rPr/>
            </w:pPr>
            <w:r>
              <w:rPr/>
              <w:t>Richard Sanders</w:t>
            </w:r>
          </w:p>
        </w:tc>
        <w:tc>
          <w:tcPr>
            <w:tcW w:w="600" w:type="dxa"/>
            <w:tcBorders/>
          </w:tcPr>
          <w:p>
            <w:pPr>
              <w:pStyle w:val="tblHeading"/>
              <w:spacing w:before="0" w:after="120"/>
              <w:ind w:end="-48"/>
              <w:rPr/>
            </w:pPr>
            <w:r>
              <w:rPr/>
              <w:t>cc:</w:t>
            </w:r>
          </w:p>
        </w:tc>
        <w:tc>
          <w:tcPr>
            <w:tcW w:w="2976" w:type="dxa"/>
            <w:tcBorders/>
          </w:tcPr>
          <w:p>
            <w:pPr>
              <w:pStyle w:val="tblText"/>
              <w:spacing w:before="0" w:after="120"/>
              <w:ind w:hanging="0" w:start="0" w:end="216"/>
              <w:rPr/>
            </w:pPr>
            <w:r>
              <w:rPr/>
              <w:t>Roland Tellis</w:t>
              <w:br/>
              <w:t>Jonathan Goldblatt</w:t>
            </w:r>
          </w:p>
        </w:tc>
      </w:tr>
      <w:tr>
        <w:trPr/>
        <w:tc>
          <w:tcPr>
            <w:tcW w:w="1440" w:type="dxa"/>
            <w:tcBorders/>
          </w:tcPr>
          <w:p>
            <w:pPr>
              <w:pStyle w:val="tblHeading"/>
              <w:spacing w:before="0" w:after="120"/>
              <w:rPr/>
            </w:pPr>
            <w:r>
              <w:rPr/>
              <w:t>From:</w:t>
            </w:r>
          </w:p>
        </w:tc>
        <w:tc>
          <w:tcPr>
            <w:tcW w:w="8136" w:type="dxa"/>
            <w:gridSpan w:val="3"/>
            <w:tcBorders/>
          </w:tcPr>
          <w:p>
            <w:pPr>
              <w:pStyle w:val="tblText"/>
              <w:spacing w:before="0" w:after="120"/>
              <w:ind w:hanging="0" w:start="0" w:end="216"/>
              <w:rPr/>
            </w:pPr>
            <w:r>
              <w:rPr/>
              <w:t>Steve Howard</w:t>
            </w:r>
          </w:p>
        </w:tc>
      </w:tr>
      <w:tr>
        <w:trPr/>
        <w:tc>
          <w:tcPr>
            <w:tcW w:w="1440" w:type="dxa"/>
            <w:tcBorders/>
          </w:tcPr>
          <w:p>
            <w:pPr>
              <w:pStyle w:val="tblHeading"/>
              <w:spacing w:before="0" w:after="120"/>
              <w:rPr/>
            </w:pPr>
            <w:r>
              <w:rPr/>
              <w:t>Date:</w:t>
            </w:r>
          </w:p>
        </w:tc>
        <w:tc>
          <w:tcPr>
            <w:tcW w:w="8136" w:type="dxa"/>
            <w:gridSpan w:val="3"/>
            <w:tcBorders/>
          </w:tcPr>
          <w:p>
            <w:pPr>
              <w:pStyle w:val="MemoDate"/>
              <w:spacing w:before="0" w:after="120"/>
              <w:rPr/>
            </w:pPr>
            <w:r>
              <w:rPr/>
              <w:t>April 26, 2001</w:t>
            </w:r>
          </w:p>
        </w:tc>
      </w:tr>
      <w:tr>
        <w:trPr/>
        <w:tc>
          <w:tcPr>
            <w:tcW w:w="1440" w:type="dxa"/>
            <w:tcBorders/>
          </w:tcPr>
          <w:p>
            <w:pPr>
              <w:pStyle w:val="tblHeading"/>
              <w:spacing w:before="0" w:after="120"/>
              <w:rPr/>
            </w:pPr>
            <w:r>
              <w:rPr/>
              <w:t>In Re:</w:t>
            </w:r>
          </w:p>
        </w:tc>
        <w:tc>
          <w:tcPr>
            <w:tcW w:w="8136" w:type="dxa"/>
            <w:gridSpan w:val="3"/>
            <w:tcBorders/>
          </w:tcPr>
          <w:p>
            <w:pPr>
              <w:pStyle w:val="tblText"/>
              <w:spacing w:before="0" w:after="120"/>
              <w:ind w:hanging="0" w:start="0" w:end="216"/>
              <w:rPr/>
            </w:pPr>
            <w:r>
              <w:rPr/>
              <w:t>Second Day of Ralph Hellmold Deposition</w:t>
            </w:r>
          </w:p>
        </w:tc>
      </w:tr>
      <w:tr>
        <w:trPr/>
        <w:tc>
          <w:tcPr>
            <w:tcW w:w="1440" w:type="dxa"/>
            <w:tcBorders/>
          </w:tcPr>
          <w:p>
            <w:pPr>
              <w:pStyle w:val="tblHeading"/>
              <w:spacing w:before="0" w:after="120"/>
              <w:rPr/>
            </w:pPr>
            <w:r>
              <w:rPr/>
              <w:t>File No.:</w:t>
            </w:r>
          </w:p>
        </w:tc>
        <w:tc>
          <w:tcPr>
            <w:tcW w:w="8136" w:type="dxa"/>
            <w:gridSpan w:val="3"/>
            <w:tcBorders/>
          </w:tcPr>
          <w:p>
            <w:pPr>
              <w:pStyle w:val="tblText"/>
              <w:spacing w:before="0" w:after="120"/>
              <w:ind w:hanging="0" w:start="0" w:end="216"/>
              <w:rPr/>
            </w:pPr>
            <w:r>
              <w:rPr/>
              <w:t>12169-202244</w:t>
            </w:r>
          </w:p>
        </w:tc>
      </w:tr>
      <w:tr>
        <w:trPr/>
        <w:tc>
          <w:tcPr>
            <w:tcW w:w="9576" w:type="dxa"/>
            <w:gridSpan w:val="4"/>
            <w:tcBorders>
              <w:top w:val="single" w:sz="12" w:space="0" w:color="000000"/>
            </w:tcBorders>
            <w:tcMar>
              <w:start w:w="108" w:type="dxa"/>
              <w:end w:w="108" w:type="dxa"/>
            </w:tcMar>
          </w:tcPr>
          <w:p>
            <w:pPr>
              <w:pStyle w:val="Normal"/>
              <w:snapToGrid w:val="false"/>
              <w:rPr/>
            </w:pPr>
            <w:r>
              <w:rPr/>
            </w:r>
          </w:p>
        </w:tc>
      </w:tr>
    </w:tbl>
    <w:p>
      <w:pPr>
        <w:pStyle w:val="BodyText"/>
        <w:rPr/>
      </w:pPr>
      <w:r>
        <w:rPr/>
        <w:t>The second day of Ralph Hellmold’s deposition proceeded on Friday, April 20, 2001.  Frank Razzano asked questions for a little more than half the day; Bruce Clark (S&amp;C for McDonald) took up most of the rest of the time; Seth Pierce (Irell &amp; Manella for SDI) asked a few questions.)  It was agreed on the record that another session of Hellmold’s deposition would be scheduled when he finishes his work vis-à-vis PaineWeber and ECT Securities and submits a supplemental report with his opinions concerning those entities.</w:t>
      </w:r>
    </w:p>
    <w:p>
      <w:pPr>
        <w:pStyle w:val="BodyText"/>
        <w:rPr/>
      </w:pPr>
      <w:r>
        <w:rPr/>
        <w:t>Razzano was quite forceful on this second day; Hellmold wore down and looked tired.  In general he seemed to run out of steam.  While he made no major mistakes, one was left with the impression that the plaintiffs’ case is not as strong as it has appeared.  I am not alone in having this impression.  Tom Hatch, the plaintiffs’ lawyer who hired Hellmold, called me today to ask about my impressions of the deposition and to share his.  Tom acknowledged that Hellmold had not held up as well as Tom had expected.</w:t>
      </w:r>
    </w:p>
    <w:p>
      <w:pPr>
        <w:pStyle w:val="BodyText"/>
        <w:rPr/>
      </w:pPr>
      <w:r>
        <w:rPr/>
        <w:t>Hellmold was especially weak on the Offtake Agreements.  He had not been aware of the Chase opinion or the McNamara testimony.  (He tried to argue that the White &amp; Case opinion was circular and meaningless, but this did not work very well.  By the way, the White &amp; Case oipinion is expressly directed to ECT as well as the other three underwriters.)  Hellmold insisted that the offtakes were very important, even though he had to acknowledge that NSM never made any steel that met the required quality standards under the contracts.  Also they have no price protection and are described very unaggressively in the slides.  Hellmold tried to argue that the offtakes were protection against a downturn in the Thai economy, but this just didn’t come over very well.</w:t>
      </w:r>
    </w:p>
    <w:p>
      <w:pPr>
        <w:pStyle w:val="BodyText"/>
        <w:rPr/>
      </w:pPr>
      <w:r>
        <w:rPr/>
        <w:t>The Sirachi harbor point was also weak.  There is no evidence as to what amount of payment was contemplated nor whether any payment was actually made.</w:t>
      </w:r>
    </w:p>
    <w:p>
      <w:pPr>
        <w:pStyle w:val="BodyText"/>
        <w:rPr/>
      </w:pPr>
      <w:r>
        <w:rPr/>
        <w:t>Hellmold expressly disclaimed any opinion on the cause of NSM’s demise.</w:t>
      </w:r>
    </w:p>
    <w:p>
      <w:pPr>
        <w:pStyle w:val="BodyText"/>
        <w:rPr/>
      </w:pPr>
      <w:r>
        <w:rPr/>
        <w:t>Critically, Hellmold seemed to be moving to a new opinion as his major opinion: that the underwriters failed to discover and disclose that the mill simply was not yet ready to make good quality steel in commercial quantities (facts which Hellmold infers from events subsequent to the closing.)  Hellmold’s inference that the mill was not ready is a little at odds with his opinion that insufficient funds were raised.  If there were not insufficient funds, can you infer from later problems at the mill that the mill was not ready, or was there insufficient money available to operate it properly?</w:t>
      </w:r>
    </w:p>
    <w:p>
      <w:pPr>
        <w:pStyle w:val="BodyText"/>
        <w:rPr/>
      </w:pPr>
      <w:r>
        <w:rPr/>
        <w:t>Hellmold was rather conclusory when asked how the underwriters should have discovered that the mill was not ready, although the one thing he said was: the underwriters cannot rely on Busse once the Windigo conversation takes place (a conversation that ECT Securities never knew about.)</w:t>
      </w:r>
    </w:p>
    <w:p>
      <w:pPr>
        <w:pStyle w:val="BodyText"/>
        <w:rPr/>
      </w:pPr>
      <w:r>
        <w:rPr/>
        <w:t>At one point, Hellmold said that the underwriters are guarantors of every material statement by the issuer (which is not true.)</w:t>
      </w:r>
    </w:p>
    <w:p>
      <w:pPr>
        <w:pStyle w:val="BodyText"/>
        <w:rPr/>
      </w:pPr>
      <w:r>
        <w:rPr/>
        <w:t>Razzano raised the point that no investor sought rescission after the 3/23 supplement disclosed the additional $10 million payment to the Thai banks.  Hellmold had no real response.</w:t>
      </w:r>
    </w:p>
    <w:p>
      <w:pPr>
        <w:pStyle w:val="BodyText"/>
        <w:rPr/>
      </w:pPr>
      <w:r>
        <w:rPr/>
        <w:t xml:space="preserve">Concerning the inclusion of a portion of the BNP facility as a “source” in sources and uses, Hellmold argued that this inclusion overstated the cushion.  It was not $95 m as it appeared ($75 m credit and $20 construction contingency) but only $12 m, when you take the $75 m out—a very thin project.  But then Hellmold shifted ground; he said that a sophisticated investor would immediately take the $75 m BNP money out of sources and realize that the cushion was only $12—then no one was deceived!  Hellmold said that the project needed to have a lot of buffer or needed to get up and running very fast in order to draw on BNP.  Probably true, but where is the decption?  Razanno stressed throughout accurate disclosure about the BNP facility in the footnote.  </w:t>
      </w:r>
    </w:p>
    <w:p>
      <w:pPr>
        <w:pStyle w:val="BodyText"/>
        <w:rPr/>
      </w:pPr>
      <w:r>
        <w:rPr/>
        <w:t>There was also some confused questioning about what should or should not be included in “Uses.”  Also there seemed to be much confusion about the interrelationship between the sources and uses table (page 38) and the projections (pages 51, 53.)  (For example, page 53 seems to show a draw on Thai bank debt—there’s even more near-term cash.)  I am unclear if these items are supposed to tie in some fashion and, if so, whether they do or do not.  I need to reread this portion of the deposition (in Clark’s examination near the end.)</w:t>
      </w:r>
    </w:p>
    <w:p>
      <w:pPr>
        <w:pStyle w:val="BodyText"/>
        <w:rPr/>
      </w:pPr>
      <w:r>
        <w:rPr/>
      </w:r>
    </w:p>
    <w:p>
      <w:pPr>
        <w:pStyle w:val="BodyText"/>
        <w:rPr/>
      </w:pPr>
      <w:r>
        <w:rPr/>
        <w:t>When Clark pressed Hellmold to identify any underwriter representations about the quality of the steel being produced, Hellmold referred to oral statements by Busse and Schultes and to the road show slides, not to the offering memorandum.</w:t>
      </w:r>
    </w:p>
    <w:p>
      <w:pPr>
        <w:pStyle w:val="BodyText"/>
        <w:rPr/>
      </w:pPr>
      <w:r>
        <w:rPr/>
        <w:t>Clark demonstrated that SDI did not really get its equity for free.  Because SDI had to pay U.S. tax (not reimbursed) on receipt of its 10% equity (valued at $17 million), SDI really came net out of pocket at the front end by $1.9 m.  Also, SDI’s reputation was on the line, so SDI was indeed at risk.</w:t>
      </w:r>
    </w:p>
    <w:p>
      <w:pPr>
        <w:pStyle w:val="BodyText"/>
        <w:rPr/>
      </w:pPr>
      <w:r>
        <w:rPr/>
        <w:t xml:space="preserve">When asked if he contended that the Management Company did </w:t>
      </w:r>
      <w:r>
        <w:rPr>
          <w:u w:val="single"/>
        </w:rPr>
        <w:t>not</w:t>
      </w:r>
      <w:r>
        <w:rPr/>
        <w:t xml:space="preserve"> have complete control over NSM as represented, Hellmold evaded the question and said only that the Management Company did not in fact exercise that control.  Hellmold said that he did not dispute anything in the description of the Management Company’s role at pp. 89-90 of the Offering Memorandum.  Indeed, Hellmold cited Heasely as testifying that Stickler authorized the payments to Sawasdi, thereby exercising Management Company control.  (Good for ECT, completely contrary to Farallon position at depositions.)</w:t>
      </w:r>
    </w:p>
    <w:p>
      <w:pPr>
        <w:pStyle w:val="BodyText"/>
        <w:rPr/>
      </w:pPr>
      <w:r>
        <w:rPr/>
        <w:t>Question to Hellmold:  Should the fact that David Stickler was manager of Management Company have been disclosed.  Answer: that fact was relevant, but maybe not material—“it’s hard to judge materiality.”</w:t>
      </w:r>
    </w:p>
    <w:p>
      <w:pPr>
        <w:pStyle w:val="BodyText"/>
        <w:rPr/>
      </w:pPr>
      <w:r>
        <w:rPr/>
        <w:t>An observation, Hellmold’s tables and arguments appear to assume/show that Enron’s additional $725,000 fees were in the $29.3 lump sum disclosed in the offering memorandum.  Hellmold assumes first that the original lump sum did not include any of the related party payments nor any of the SDI payments.  The only other place to look for undisclosed payments is Hellmold Exhibit 31, which shows $31.6 m of non-A/B underwriting fees, an overage of  2.3 m, of which $1.9 m is the undisclosed underwriting fee on the C Tranche, leaving only $400,000 other undisclosed fees, which can’t be Enron.  (We should remember that, at some level, all of this is nonsense, because the $29.3 was not a summation of specific known fees, but rather a calculation of the aggregate fees expected as a percentage of various types of capital being raised, a point that no one seems to realize other than Brian Barth.)</w:t>
      </w:r>
    </w:p>
    <w:p>
      <w:pPr>
        <w:pStyle w:val="BodyText"/>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40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5943600" cy="139700"/>
              <wp:effectExtent l="0" t="0" r="0" b="0"/>
              <wp:wrapNone/>
              <wp:docPr id="1" name="Frame2"/>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562012_1.DOC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562012_1.DOC</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39700"/>
              <wp:effectExtent l="0" t="0" r="0" b="0"/>
              <wp:wrapNone/>
              <wp:docPr id="2" name="Frame1"/>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562012_1.DOC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562012_1.DOC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Memorandum to Richard Sanders</w:t>
    </w:r>
  </w:p>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rPr>
        <w:spacing w:val="80"/>
        <w:sz w:val="32"/>
      </w:rPr>
    </w:pPr>
    <w:bookmarkStart w:id="0" w:name="zzmpFIXED_LHFirstPage"/>
    <w:bookmarkEnd w:id="0"/>
    <w:r>
      <w:rPr>
        <w:spacing w:val="80"/>
        <w:sz w:val="32"/>
      </w:rPr>
      <w:t>ALSCHULER GROSSMAN STEIN &amp; KAHAN LLP</w:t>
    </w:r>
  </w:p>
  <w:p>
    <w:pPr>
      <w:pStyle w:val="Letterhead"/>
      <w:spacing w:before="40" w:after="0"/>
      <w:rPr>
        <w:spacing w:val="80"/>
        <w:sz w:val="22"/>
      </w:rPr>
    </w:pPr>
    <w:r>
      <w:rPr>
        <w:spacing w:val="80"/>
        <w:sz w:val="22"/>
      </w:rPr>
      <w:t>ATTORNEYS AT LAW</w:t>
    </w:r>
  </w:p>
  <w:p>
    <w:pPr>
      <w:pStyle w:val="Header"/>
      <w:rPr>
        <w:spacing w:val="80"/>
        <w:sz w:val="22"/>
      </w:rPr>
    </w:pPr>
    <w:r>
      <w:rPr>
        <w:spacing w:val="80"/>
        <w:sz w:val="22"/>
      </w:rPr>
    </w:r>
    <w:bookmarkStart w:id="1" w:name="zzmpFIXED_LHFirstPage"/>
    <w:bookmarkStart w:id="2" w:name="zzmpFIXED_LHFirstPage"/>
    <w:bookmarkEnd w:id="2"/>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pfile" w:val="Memo.mbp"/>
    <w:docVar w:name="DocStamp_1_DocID" w:val="C:\NrPortbl\Docs\SHOWARD\562012_1.DOC"/>
    <w:docVar w:name="DocStamp_1_IncludeDate" w:val="False"/>
    <w:docVar w:name="DocStamp_1_IncludeDraftText" w:val="False"/>
    <w:docVar w:name="DocStamp_1_IncludeTime" w:val="False"/>
    <w:docVar w:name="DocStamp_1_InsertDateAsField" w:val="False"/>
    <w:docVar w:name="DocStamp_1_TypeID" w:val="1"/>
    <w:docVar w:name="Memo_1_Alignment" w:val="0"/>
    <w:docVar w:name="Memo_1_Author" w:val="2231"/>
    <w:docVar w:name="Memo_1_CC" w:val="Roland Tellis&#10;Jonathan Goldblatt"/>
    <w:docVar w:name="Memo_1_ClientMatterNumber" w:val="12169-202244"/>
    <w:docVar w:name="Memo_1_DateType" w:val="mmmm d, yyyy"/>
    <w:docVar w:name="Memo_1_DeliveryPhrases" w:val="Confidential&#10;Attorney-Client Privilege"/>
    <w:docVar w:name="Memo_1_FirstLineIndent" w:val="1"/>
    <w:docVar w:name="Memo_1_FontName" w:val="Berkeley"/>
    <w:docVar w:name="Memo_1_FontSize" w:val="12"/>
    <w:docVar w:name="Memo_1_From" w:val="Steve Howard"/>
    <w:docVar w:name="Memo_1_HeaderAdditionalText" w:val="Richard Sanders"/>
    <w:docVar w:name="Memo_1_IncludeDPhrasesInHeader" w:val="0"/>
    <w:docVar w:name="Memo_1_Recipients" w:val="Richard Sanders"/>
    <w:docVar w:name="Memo_1_Reline" w:val="Second Day of Ralph Hellmold Deposition"/>
    <w:docVar w:name="MemoLH_1_Author" w:val="2231"/>
    <w:docVar w:name="MemoLH_1_IncludeLetterheadEMail" w:val="-1"/>
    <w:docVar w:name="MemoLH_1_IncludeLetterheadFax" w:val="0"/>
    <w:docVar w:name="MemoLH_1_IncludeLetterheadName" w:val="-1"/>
    <w:docVar w:name="MemoLH_1_IncludeLetterheadPhone" w:val="-1"/>
    <w:docVar w:name="MemoLH_1_IncludeLetterheadTitle" w:val="-1"/>
    <w:docVar w:name="MemoLH_1_LetterheadEMail" w:val="showard@agsk.com"/>
    <w:docVar w:name="MemoLH_1_LetterheadFirmFax" w:val="310-552-6077"/>
    <w:docVar w:name="MemoLH_1_LetterheadFirmName" w:val="Alschuler Grossman Stein &amp; Kahan LLP"/>
    <w:docVar w:name="MemoLH_1_LetterheadFirmPhone" w:val="310-277-1226"/>
    <w:docVar w:name="MemoLH_1_LetterheadFirmURL" w:val="www.sflaw.com"/>
    <w:docVar w:name="MemoLH_1_LetterheadName" w:val="C. Stephen Howard"/>
    <w:docVar w:name="MemoLH_1_LetterheadPhone" w:val="310-407-7613"/>
    <w:docVar w:name="MemoLH_1_LetterheadTitle" w:val="Attorney At Law"/>
    <w:docVar w:name="MemoLH_1_LetterheadType" w:val="4"/>
    <w:docVar w:name="MPDocID" w:val="C:\NrPortbl\Docs\SHOWARD\562012_1.DOC"/>
    <w:docVar w:name="ReUseAuthor" w:val="2231|Howard, Steve|showard@agsk.com||Steve|C. Stephen Howard||CSH|2091\California Bar ID\43434\True|True|Howard||1|310-407-7613|Attorney At Law"/>
    <w:docVar w:name="ReuseAuthorOptions" w:val="fldID??-99999999|fldLastEditTime??1/20/00 5:38:25 PM|cmbLetterheadType??4|chkIncludeLetterheadName??-1|chkIncludeLetterheadPhone??-1|chkIncludeLetterheadEMail??-1|chkIncludeLetterheadTitle??-1|chkIncludeLetterheadFax??0|cmbDateType??mmmm d, yyyy|cmbBodyTextAlignment??0|spnBodyTextFirstLineIndent??1|cmbNormalFontName??Berkeley|spnNormalFontSize??12"/>
    <w:docVar w:name="zzmpFixed_MacPacVersion" w:val="9.0"/>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rkeley" w:hAnsi="Berkeley" w:eastAsia="Times New Roman" w:cs="Berkeley"/>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120" w:after="360"/>
      <w:jc w:val="center"/>
      <w:outlineLvl w:val="0"/>
    </w:pPr>
    <w:rPr>
      <w:b/>
      <w:caps/>
      <w:spacing w:val="40"/>
      <w:sz w:val="28"/>
    </w:rPr>
  </w:style>
  <w:style w:type="paragraph" w:styleId="BodyText">
    <w:name w:val="Body Text"/>
    <w:basedOn w:val="Normal"/>
    <w:pPr>
      <w:spacing w:lineRule="auto" w:line="480"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tterhead">
    <w:name w:val="Letterhead"/>
    <w:qFormat/>
    <w:pPr>
      <w:widowControl/>
      <w:tabs>
        <w:tab w:val="clear" w:pos="720"/>
        <w:tab w:val="center" w:pos="1886" w:leader="none"/>
      </w:tabs>
      <w:bidi w:val="0"/>
      <w:jc w:val="center"/>
    </w:pPr>
    <w:rPr>
      <w:rFonts w:ascii="Berkeley" w:hAnsi="Berkeley" w:eastAsia="Times New Roman" w:cs="Berkeley"/>
      <w:color w:val="auto"/>
      <w:spacing w:val="2"/>
      <w:sz w:val="16"/>
      <w:szCs w:val="20"/>
      <w:lang w:val="en-US" w:eastAsia="en-CA" w:bidi="ar-SA"/>
    </w:rPr>
  </w:style>
  <w:style w:type="paragraph" w:styleId="DeliveryPhrase">
    <w:name w:val="Delivery Phrase"/>
    <w:basedOn w:val="Normal"/>
    <w:qFormat/>
    <w:pPr/>
    <w:rPr>
      <w:b/>
      <w:smallCaps/>
    </w:rPr>
  </w:style>
  <w:style w:type="paragraph" w:styleId="tblText">
    <w:name w:val="tbl Text"/>
    <w:basedOn w:val="Normal"/>
    <w:qFormat/>
    <w:pPr>
      <w:spacing w:before="0" w:after="120"/>
      <w:ind w:hanging="0" w:start="0" w:end="216"/>
    </w:pPr>
    <w:rPr/>
  </w:style>
  <w:style w:type="paragraph" w:styleId="MemoDate">
    <w:name w:val="Memo Date"/>
    <w:basedOn w:val="tblText"/>
    <w:qFormat/>
    <w:pPr/>
    <w:rPr/>
  </w:style>
  <w:style w:type="paragraph" w:styleId="MemoSignatureSub">
    <w:name w:val="Memo Signature Sub"/>
    <w:basedOn w:val="Normal"/>
    <w:qFormat/>
    <w:pPr>
      <w:spacing w:before="0" w:after="240"/>
      <w:ind w:hanging="720" w:start="720" w:end="0"/>
    </w:pPr>
    <w:rPr/>
  </w:style>
  <w:style w:type="paragraph" w:styleId="tblHeading">
    <w:name w:val="tbl Heading"/>
    <w:basedOn w:val="tblText"/>
    <w:qFormat/>
    <w:pPr/>
    <w:rPr>
      <w:b/>
    </w:rPr>
  </w:style>
  <w:style w:type="paragraph" w:styleId="BodyTextContinued">
    <w:name w:val="Body Text Continued"/>
    <w:basedOn w:val="BodyText"/>
    <w:next w:val="BodyText"/>
    <w:qFormat/>
    <w:pPr>
      <w:ind w:hanging="0" w:start="0" w:end="0"/>
    </w:pPr>
    <w:rPr/>
  </w:style>
  <w:style w:type="paragraph" w:styleId="Quote">
    <w:name w:val="Quote"/>
    <w:basedOn w:val="Normal"/>
    <w:next w:val="BodyTextContinued"/>
    <w:qFormat/>
    <w:pPr>
      <w:spacing w:before="0" w:after="240"/>
      <w:ind w:hanging="0" w:start="1440" w:end="1440"/>
    </w:pPr>
    <w:rPr/>
  </w:style>
  <w:style w:type="paragraph" w:styleId="MemoSignature">
    <w:name w:val="Memo Signature"/>
    <w:basedOn w:val="Normal"/>
    <w:qFormat/>
    <w:pPr>
      <w:keepNext w:val="true"/>
      <w:keepLines/>
      <w:ind w:hanging="0" w:start="4680" w:end="0"/>
    </w:pPr>
    <w:rPr/>
  </w:style>
  <w:style w:type="paragraph" w:styleId="LetterheadAuthor">
    <w:name w:val="Letterhead Author"/>
    <w:basedOn w:val="Letterhead"/>
    <w:qFormat/>
    <w:pPr>
      <w:tabs>
        <w:tab w:val="clear" w:pos="1886"/>
      </w:tabs>
      <w:ind w:hanging="0" w:start="115" w:end="43"/>
    </w:pPr>
    <w:rPr>
      <w:small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2001-04-27T00:53:00Z</dcterms:created>
  <dc:creator>Default</dc:creator>
  <dc:description/>
  <dc:language>en-CA</dc:language>
  <cp:lastModifiedBy>Default</cp:lastModifiedBy>
  <cp:lastPrinted>2001-04-26T20:10:00Z</cp:lastPrinted>
  <dcterms:modified xsi:type="dcterms:W3CDTF">2001-04-27T00:53:00Z</dcterms:modified>
  <cp:revision>2</cp:revision>
  <dc:subject/>
  <dc:title>MEMORANDUM</dc:title>
</cp:coreProperties>
</file>