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Continued"/>
        <w:widowControl/>
        <w:spacing w:lineRule="auto" w:line="480" w:before="0" w:after="720"/>
        <w:rPr>
          <w:szCs w:val="24"/>
        </w:rPr>
      </w:pPr>
      <w:r>
        <w:rPr>
          <w:szCs w:val="24"/>
        </w:rPr>
      </w:r>
    </w:p>
    <w:tbl>
      <w:tblPr>
        <w:tblW w:w="9576" w:type="dxa"/>
        <w:jc w:val="start"/>
        <w:tblInd w:w="0" w:type="dxa"/>
        <w:tblLayout w:type="fixed"/>
        <w:tblCellMar>
          <w:top w:w="0" w:type="dxa"/>
          <w:start w:w="0" w:type="dxa"/>
          <w:bottom w:w="0" w:type="dxa"/>
          <w:end w:w="0" w:type="dxa"/>
        </w:tblCellMar>
      </w:tblPr>
      <w:tblGrid>
        <w:gridCol w:w="1440"/>
        <w:gridCol w:w="4560"/>
        <w:gridCol w:w="600"/>
        <w:gridCol w:w="2976"/>
      </w:tblGrid>
      <w:tr>
        <w:trPr/>
        <w:tc>
          <w:tcPr>
            <w:tcW w:w="1440" w:type="dxa"/>
            <w:tcBorders/>
          </w:tcPr>
          <w:p>
            <w:pPr>
              <w:pStyle w:val="tblHeading"/>
              <w:spacing w:before="0" w:after="120"/>
              <w:rPr/>
            </w:pPr>
            <w:r>
              <w:rPr/>
              <w:t>To:</w:t>
            </w:r>
          </w:p>
        </w:tc>
        <w:tc>
          <w:tcPr>
            <w:tcW w:w="4560" w:type="dxa"/>
            <w:tcBorders/>
          </w:tcPr>
          <w:p>
            <w:pPr>
              <w:pStyle w:val="tblText"/>
              <w:spacing w:before="0" w:after="120"/>
              <w:ind w:hanging="0" w:start="0" w:end="216"/>
              <w:rPr/>
            </w:pPr>
            <w:r>
              <w:rPr/>
              <w:t xml:space="preserve">Richard Sanders </w:t>
            </w:r>
          </w:p>
        </w:tc>
        <w:tc>
          <w:tcPr>
            <w:tcW w:w="600" w:type="dxa"/>
            <w:tcBorders/>
          </w:tcPr>
          <w:p>
            <w:pPr>
              <w:pStyle w:val="tblHeading"/>
              <w:spacing w:before="0" w:after="120"/>
              <w:ind w:end="-48"/>
              <w:rPr/>
            </w:pPr>
            <w:r>
              <w:rPr/>
              <w:t>cc:</w:t>
            </w:r>
          </w:p>
        </w:tc>
        <w:tc>
          <w:tcPr>
            <w:tcW w:w="2976" w:type="dxa"/>
            <w:tcBorders/>
          </w:tcPr>
          <w:p>
            <w:pPr>
              <w:pStyle w:val="tblText"/>
              <w:spacing w:before="0" w:after="120"/>
              <w:ind w:hanging="0" w:start="0" w:end="216"/>
              <w:rPr/>
            </w:pPr>
            <w:r>
              <w:rPr/>
              <w:t>Roland Tellis</w:t>
            </w:r>
          </w:p>
        </w:tc>
      </w:tr>
      <w:tr>
        <w:trPr/>
        <w:tc>
          <w:tcPr>
            <w:tcW w:w="1440" w:type="dxa"/>
            <w:tcBorders/>
          </w:tcPr>
          <w:p>
            <w:pPr>
              <w:pStyle w:val="tblHeading"/>
              <w:spacing w:before="0" w:after="120"/>
              <w:rPr/>
            </w:pPr>
            <w:r>
              <w:rPr/>
              <w:t>From:</w:t>
            </w:r>
          </w:p>
        </w:tc>
        <w:tc>
          <w:tcPr>
            <w:tcW w:w="8136" w:type="dxa"/>
            <w:gridSpan w:val="3"/>
            <w:tcBorders/>
          </w:tcPr>
          <w:p>
            <w:pPr>
              <w:pStyle w:val="tblText"/>
              <w:spacing w:before="0" w:after="120"/>
              <w:ind w:hanging="0" w:start="0" w:end="216"/>
              <w:rPr/>
            </w:pPr>
            <w:r>
              <w:rPr/>
              <w:t>Steve Howard</w:t>
            </w:r>
          </w:p>
        </w:tc>
      </w:tr>
      <w:tr>
        <w:trPr/>
        <w:tc>
          <w:tcPr>
            <w:tcW w:w="1440" w:type="dxa"/>
            <w:tcBorders/>
          </w:tcPr>
          <w:p>
            <w:pPr>
              <w:pStyle w:val="tblHeading"/>
              <w:spacing w:before="0" w:after="120"/>
              <w:rPr/>
            </w:pPr>
            <w:r>
              <w:rPr/>
              <w:t>Date:</w:t>
            </w:r>
          </w:p>
        </w:tc>
        <w:tc>
          <w:tcPr>
            <w:tcW w:w="8136" w:type="dxa"/>
            <w:gridSpan w:val="3"/>
            <w:tcBorders/>
          </w:tcPr>
          <w:p>
            <w:pPr>
              <w:pStyle w:val="MemoDate"/>
              <w:spacing w:before="0" w:after="120"/>
              <w:rPr/>
            </w:pPr>
            <w:r>
              <w:rPr/>
              <w:t>April 19, 2001</w:t>
            </w:r>
          </w:p>
        </w:tc>
      </w:tr>
      <w:tr>
        <w:trPr/>
        <w:tc>
          <w:tcPr>
            <w:tcW w:w="1440" w:type="dxa"/>
            <w:tcBorders/>
          </w:tcPr>
          <w:p>
            <w:pPr>
              <w:pStyle w:val="tblHeading"/>
              <w:spacing w:before="0" w:after="120"/>
              <w:rPr/>
            </w:pPr>
            <w:r>
              <w:rPr/>
              <w:t>In Re:</w:t>
            </w:r>
          </w:p>
        </w:tc>
        <w:tc>
          <w:tcPr>
            <w:tcW w:w="8136" w:type="dxa"/>
            <w:gridSpan w:val="3"/>
            <w:tcBorders/>
          </w:tcPr>
          <w:p>
            <w:pPr>
              <w:pStyle w:val="tblText"/>
              <w:spacing w:before="0" w:after="120"/>
              <w:ind w:hanging="0" w:start="0" w:end="216"/>
              <w:rPr/>
            </w:pPr>
            <w:r>
              <w:rPr/>
              <w:t>Hellmold Deposition, First day</w:t>
            </w:r>
          </w:p>
        </w:tc>
      </w:tr>
      <w:tr>
        <w:trPr/>
        <w:tc>
          <w:tcPr>
            <w:tcW w:w="1440" w:type="dxa"/>
            <w:tcBorders/>
          </w:tcPr>
          <w:p>
            <w:pPr>
              <w:pStyle w:val="tblHeading"/>
              <w:spacing w:before="0" w:after="120"/>
              <w:rPr/>
            </w:pPr>
            <w:r>
              <w:rPr/>
              <w:t>File No.:</w:t>
            </w:r>
          </w:p>
        </w:tc>
        <w:tc>
          <w:tcPr>
            <w:tcW w:w="8136" w:type="dxa"/>
            <w:gridSpan w:val="3"/>
            <w:tcBorders/>
          </w:tcPr>
          <w:p>
            <w:pPr>
              <w:pStyle w:val="tblText"/>
              <w:spacing w:before="0" w:after="120"/>
              <w:ind w:hanging="0" w:start="0" w:end="216"/>
              <w:rPr/>
            </w:pPr>
            <w:r>
              <w:rPr/>
              <w:t>12169-202244</w:t>
            </w:r>
          </w:p>
        </w:tc>
      </w:tr>
      <w:tr>
        <w:trPr/>
        <w:tc>
          <w:tcPr>
            <w:tcW w:w="9576" w:type="dxa"/>
            <w:gridSpan w:val="4"/>
            <w:tcBorders>
              <w:top w:val="single" w:sz="12" w:space="0" w:color="000000"/>
            </w:tcBorders>
            <w:tcMar>
              <w:start w:w="108" w:type="dxa"/>
              <w:end w:w="108" w:type="dxa"/>
            </w:tcMar>
          </w:tcPr>
          <w:p>
            <w:pPr>
              <w:pStyle w:val="Normal"/>
              <w:snapToGrid w:val="false"/>
              <w:spacing w:lineRule="auto" w:line="480"/>
              <w:rPr/>
            </w:pPr>
            <w:r>
              <w:rPr/>
            </w:r>
          </w:p>
        </w:tc>
      </w:tr>
    </w:tbl>
    <w:p>
      <w:pPr>
        <w:pStyle w:val="BodyText"/>
        <w:spacing w:lineRule="auto" w:line="480"/>
        <w:rPr/>
      </w:pPr>
      <w:r>
        <w:rPr/>
        <w:t>The deposition of Ralph Hellmold, designated due diligence expert for a number of plaintiffs, including Farallon and Legg Mason, commenced today at Sullivan &amp; Cromwell in New York.  The lead questioner was Frank Razzano of Dickstein, Shapiro representing Natwest.  In fact, Razzano consistently referred to Natwest and McDonald in one breath and often used the words “we” and “us” to refer to both.  At one point Razzano mistakenly characterized himself as counsel for McDonald, which took McDonald’s lawyer a bit by surprise.</w:t>
      </w:r>
    </w:p>
    <w:p>
      <w:pPr>
        <w:pStyle w:val="BodyText"/>
        <w:spacing w:lineRule="auto" w:line="480"/>
        <w:rPr/>
      </w:pPr>
      <w:r>
        <w:rPr/>
        <w:t>Hellmold was hired by Tom Hatch in late December 2000 to write a report for Hatch’s various clients evaluating the performance of Natwest and McDonald (not PaineWeber or ECT.)  Hatch is paying $50,000 for the report and $5,000 per day thereafter.  About two weeks ago, after Hellmold had produced his report for Hatch, Bruce MacLeod retained Hellmold on behalf of Farallon and Oaktree (and apparently Legg Mason) to expand his work to develop opinions about PaineWeber and ECT; Hellmold has started reading documents but has not finished his work.  Hellmold and MacLeod have discussed issues of disclosure and due diligence (consistently two different concepts for Hellmold) in the context of ECT.  MacLeod has argued his case, but Hellmold has not concluded.  Prior to my objecting (see below) Hellmold did not intend to produce another report.  He is charging MacLeod a $10,000 retainer and $5,000 per day.</w:t>
      </w:r>
    </w:p>
    <w:p>
      <w:pPr>
        <w:pStyle w:val="BodyText"/>
        <w:spacing w:lineRule="auto" w:line="480"/>
        <w:rPr/>
      </w:pPr>
      <w:r>
        <w:rPr/>
        <w:t>I took the position today that I am entitled to have Hellmold finish his work concerning ECT and that he must prepare a report on his opinions about ECT, before I depose him, or he can’t testify at trial against ECT.  MacLeod has not formally agreed, but he is not really fighting me either.</w:t>
      </w:r>
    </w:p>
    <w:p>
      <w:pPr>
        <w:pStyle w:val="BodyText"/>
        <w:spacing w:lineRule="auto" w:line="480"/>
        <w:rPr/>
      </w:pPr>
      <w:r>
        <w:rPr/>
        <w:t>[Hatch really does not want Hellmold to write anything negative about, or testify negatively about, ECT, so I think the next several days or so present a great opportunity to test a possible settlement of the claims against ECT only.  I will call you about this.]</w:t>
      </w:r>
    </w:p>
    <w:p>
      <w:pPr>
        <w:pStyle w:val="BodyText"/>
        <w:spacing w:lineRule="auto" w:line="480"/>
        <w:rPr/>
      </w:pPr>
      <w:r>
        <w:rPr/>
        <w:t xml:space="preserve">Hellmold has never himself worked on a 144A offering.  (Neither has McGrath; but the way he wrote his report, it doesn’t matter.)  The NASD revoked the broker/dealer license of one of Hellmold’s personal companies for not making some filing.  This sounds worthy of further investigation. </w:t>
      </w:r>
    </w:p>
    <w:p>
      <w:pPr>
        <w:pStyle w:val="BodyText"/>
        <w:spacing w:lineRule="auto" w:line="480"/>
        <w:rPr/>
      </w:pPr>
      <w:r>
        <w:rPr/>
        <w:t>Hellmold testified once before as a plaintiffs’ due diligence witness in the Phar-Mor case.  He agreed to produce his report; we need to be sure to get it.</w:t>
      </w:r>
    </w:p>
    <w:p>
      <w:pPr>
        <w:pStyle w:val="BodyText"/>
        <w:spacing w:lineRule="auto" w:line="480"/>
        <w:rPr/>
      </w:pPr>
      <w:r>
        <w:rPr/>
        <w:t>All of Hellmold’s complaints are really about disclosure, not diligence.</w:t>
      </w:r>
    </w:p>
    <w:p>
      <w:pPr>
        <w:pStyle w:val="BodyText"/>
        <w:spacing w:lineRule="auto" w:line="480"/>
        <w:rPr/>
      </w:pPr>
      <w:r>
        <w:rPr/>
        <w:t>In addition to the alleged inadequate disclosures set forth in Hellmold’s report, Hellmold is working on one other area of possibly defective disclosure—namely, descriptions of the status of the mill and the quality and quantity of steel being produced at the time of the offering.  In this regard Hellmold pointed out various apparently inconsistent disclosures in the documents about the status of the mill—failure to warn investors that mill is not yet producing steel in commercial qualities and quantities.  Underwriters should have asked Preusag and Klockner if the steel coming off the line was of a quality that they will buy.  In other word, the underwriters needed to satisfy themselves that the only thing holding up production was a lack of cash.</w:t>
      </w:r>
    </w:p>
    <w:p>
      <w:pPr>
        <w:pStyle w:val="BodyText"/>
        <w:spacing w:lineRule="auto" w:line="480"/>
        <w:rPr/>
      </w:pPr>
      <w:r>
        <w:rPr/>
        <w:t>Hellmold re off-takes:  Because the underwriters knew about the problem, they can’t just rely on their lawyers.</w:t>
      </w:r>
    </w:p>
    <w:p>
      <w:pPr>
        <w:pStyle w:val="BodyText"/>
        <w:spacing w:lineRule="auto" w:line="480"/>
        <w:rPr/>
      </w:pPr>
      <w:r>
        <w:rPr/>
        <w:t>Hellmold is very critical of the underwriters’ not updating the projections, but does not make that one of his inadequate disclosure points.</w:t>
      </w:r>
    </w:p>
    <w:p>
      <w:pPr>
        <w:pStyle w:val="BodyText"/>
        <w:spacing w:lineRule="auto" w:line="480"/>
        <w:rPr/>
      </w:pPr>
      <w:r>
        <w:rPr/>
        <w:t>Out of nowhere, Hellmold said “the co- gen isn’t going to work.”  I need to find this reference in the transcript and understand it.</w:t>
      </w:r>
    </w:p>
    <w:p>
      <w:pPr>
        <w:pStyle w:val="BodyText"/>
        <w:spacing w:lineRule="auto" w:line="480"/>
        <w:rPr/>
      </w:pPr>
      <w:r>
        <w:rPr/>
        <w:t xml:space="preserve">Hellmold has an interesting take on the Management Company, and it isn’t that bad for Enron.  He thinks that the investors saw the representations that the Management Company would be in complete control ands a representation that </w:t>
      </w:r>
      <w:r>
        <w:rPr>
          <w:u w:val="single"/>
        </w:rPr>
        <w:t>SDI</w:t>
      </w:r>
      <w:r>
        <w:rPr/>
        <w:t xml:space="preserve"> would be in complete control.  Hellmold says that investors knew the Enron knew nothing about running a steel mill; Enron was just in it for the co-gen facility.  And McDonald was only useful for finance.  The real manager was to be SDI.  The Managing Company was just a euphemism for SDI, who was always named first, when the Management Company members were listed.  Find these passages (Hellmold covered the subject twice) and be ready to use them.  Hellmold said, of the three strategic investors, only SDI was qualified to exercise complete control over the operations and finances of a steel company.</w:t>
      </w:r>
    </w:p>
    <w:p>
      <w:pPr>
        <w:pStyle w:val="BodyText"/>
        <w:spacing w:lineRule="auto" w:line="480"/>
        <w:rPr/>
      </w:pPr>
      <w:r>
        <w:rPr/>
        <w:t>The investors expected SDI to be in complete control.  The offering memorandum should have disclosed that SDI’s contract said that SDI had no management responsibility.</w:t>
      </w:r>
    </w:p>
    <w:p>
      <w:pPr>
        <w:pStyle w:val="BodyText"/>
        <w:spacing w:lineRule="auto" w:line="480"/>
        <w:ind w:firstLine="720" w:start="720" w:end="0"/>
        <w:rPr/>
      </w:pPr>
      <w:r>
        <w:rPr/>
        <w:t>Razzano never clearly asked if SDI in fact did what the investors expected.  I should.</w:t>
      </w:r>
    </w:p>
    <w:p>
      <w:pPr>
        <w:pStyle w:val="BodyText"/>
        <w:spacing w:lineRule="auto" w:line="480"/>
        <w:rPr/>
      </w:pPr>
      <w:r>
        <w:rPr/>
        <w:t>SDI got its NSMstock as consideration under the licensing agreement, not the management agreement.</w:t>
      </w:r>
    </w:p>
    <w:p>
      <w:pPr>
        <w:pStyle w:val="BodyText"/>
        <w:spacing w:lineRule="auto" w:line="480"/>
        <w:rPr/>
      </w:pPr>
      <w:r>
        <w:rPr/>
        <w:t>Hellmold appears to have double counted some of the SDI fees—should be $5.5 million ($2m annual fee, $1.3m incentive fee, $2.1 tax gross up, and $.1 expenses), not $8.8 million.</w:t>
      </w:r>
    </w:p>
    <w:p>
      <w:pPr>
        <w:pStyle w:val="BodyText"/>
        <w:spacing w:lineRule="auto" w:line="480"/>
        <w:rPr/>
      </w:pPr>
      <w:r>
        <w:rPr/>
        <w:t>Hellmold said that Busse either lied in the road shows or lied to Windigo.</w:t>
      </w:r>
    </w:p>
    <w:p>
      <w:pPr>
        <w:pStyle w:val="BodyText"/>
        <w:spacing w:lineRule="auto" w:line="480"/>
        <w:rPr/>
      </w:pPr>
      <w:r>
        <w:rPr/>
        <w:t>In ranting on about quality problems, Hellmold said that if the steel was great, it could have been sold.  Find this passage and use it for offtake questions.</w:t>
      </w:r>
    </w:p>
    <w:p>
      <w:pPr>
        <w:pStyle w:val="BodyText"/>
        <w:spacing w:lineRule="auto" w:line="480"/>
        <w:rPr>
          <w:rFonts w:eastAsia="Berkeley"/>
        </w:rPr>
      </w:pPr>
      <w:r>
        <w:rPr>
          <w:rFonts w:eastAsia="Berkeley"/>
        </w:rPr>
        <w:t xml:space="preserve">  </w:t>
      </w:r>
    </w:p>
    <w:p>
      <w:pPr>
        <w:pStyle w:val="Normal"/>
        <w:spacing w:lineRule="auto" w:line="480"/>
        <w:rPr/>
      </w:pPr>
      <w:r>
        <w:rPr/>
      </w:r>
    </w:p>
    <w:p>
      <w:pPr>
        <w:pStyle w:val="Normal"/>
        <w:spacing w:lineRule="auto" w:line="480"/>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408"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rkeley">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eastAsia="en-CA"/>
      </w:rPr>
    </w:pPr>
    <w:r>
      <w:rPr>
        <w:lang w:val="en-CA" w:eastAsia="en-CA"/>
      </w:rPr>
    </w:r>
    <w:r>
      <mc:AlternateContent>
        <mc:Choice Requires="wps">
          <w:drawing>
            <wp:anchor behindDoc="1" distT="0" distB="0" distL="114935" distR="114935" simplePos="0" locked="0" layoutInCell="0" allowOverlap="1" relativeHeight="5">
              <wp:simplePos x="0" y="0"/>
              <wp:positionH relativeFrom="margin">
                <wp:posOffset>0</wp:posOffset>
              </wp:positionH>
              <wp:positionV relativeFrom="paragraph">
                <wp:posOffset>635</wp:posOffset>
              </wp:positionV>
              <wp:extent cx="5943600" cy="139700"/>
              <wp:effectExtent l="0" t="0" r="0" b="0"/>
              <wp:wrapNone/>
              <wp:docPr id="1" name="Frame2"/>
              <a:graphic xmlns:a="http://schemas.openxmlformats.org/drawingml/2006/main">
                <a:graphicData uri="http://schemas.microsoft.com/office/word/2010/wordprocessingShape">
                  <wps:wsp>
                    <wps:cNvSpPr txBox="1"/>
                    <wps:spPr>
                      <a:xfrm>
                        <a:off x="0" y="0"/>
                        <a:ext cx="5943600" cy="139700"/>
                      </a:xfrm>
                      <a:prstGeom prst="rect"/>
                      <a:solidFill>
                        <a:srgbClr val="FFFFFF">
                          <a:alpha val="0"/>
                        </a:srgbClr>
                      </a:solidFill>
                    </wps:spPr>
                    <wps:txbx>
                      <w:txbxContent>
                        <w:p>
                          <w:pPr>
                            <w:pStyle w:val="Normal"/>
                            <w:tabs>
                              <w:tab w:val="clear" w:pos="720"/>
                              <w:tab w:val="center" w:pos="4680" w:leader="none"/>
                              <w:tab w:val="right" w:pos="9360" w:leader="none"/>
                            </w:tabs>
                            <w:rPr>
                              <w:sz w:val="18"/>
                            </w:rPr>
                          </w:pPr>
                          <w:r>
                            <w:rPr>
                              <w:sz w:val="18"/>
                            </w:rPr>
                            <w:t>C:\NSM Depo Reports\Report on Hellmold Day #1.doc</w:t>
                          </w:r>
                        </w:p>
                      </w:txbxContent>
                    </wps:txbx>
                    <wps:bodyPr anchor="t" lIns="635" tIns="635" rIns="635" bIns="635">
                      <a:noAutofit/>
                    </wps:bodyPr>
                  </wps:wsp>
                </a:graphicData>
              </a:graphic>
            </wp:anchor>
          </w:drawing>
        </mc:Choice>
        <mc:Fallback>
          <w:pict>
            <v:rect fillcolor="#FFFFFF" style="position:absolute;rotation:-0;width:468pt;height:11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Normal"/>
                      <w:tabs>
                        <w:tab w:val="clear" w:pos="720"/>
                        <w:tab w:val="center" w:pos="4680" w:leader="none"/>
                        <w:tab w:val="right" w:pos="9360" w:leader="none"/>
                      </w:tabs>
                      <w:rPr>
                        <w:sz w:val="18"/>
                      </w:rPr>
                    </w:pPr>
                    <w:r>
                      <w:rPr>
                        <w:sz w:val="18"/>
                      </w:rPr>
                      <w:t>C:\NSM Depo Reports\Report on Hellmold Day #1.doc</w:t>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eastAsia="en-CA"/>
      </w:rPr>
    </w:pPr>
    <w:r>
      <w:rPr>
        <w:lang w:val="en-CA" w:eastAsia="en-CA"/>
      </w:rPr>
    </w:r>
    <w:r>
      <mc:AlternateContent>
        <mc:Choice Requires="wps">
          <w:drawing>
            <wp:anchor behindDoc="1" distT="0" distB="0" distL="114935" distR="114935" simplePos="0" locked="0" layoutInCell="0" allowOverlap="1" relativeHeight="2">
              <wp:simplePos x="0" y="0"/>
              <wp:positionH relativeFrom="margin">
                <wp:posOffset>0</wp:posOffset>
              </wp:positionH>
              <wp:positionV relativeFrom="paragraph">
                <wp:posOffset>635</wp:posOffset>
              </wp:positionV>
              <wp:extent cx="5943600" cy="139700"/>
              <wp:effectExtent l="0" t="0" r="0" b="0"/>
              <wp:wrapNone/>
              <wp:docPr id="2" name="Frame1"/>
              <a:graphic xmlns:a="http://schemas.openxmlformats.org/drawingml/2006/main">
                <a:graphicData uri="http://schemas.microsoft.com/office/word/2010/wordprocessingShape">
                  <wps:wsp>
                    <wps:cNvSpPr txBox="1"/>
                    <wps:spPr>
                      <a:xfrm>
                        <a:off x="0" y="0"/>
                        <a:ext cx="5943600" cy="139700"/>
                      </a:xfrm>
                      <a:prstGeom prst="rect"/>
                      <a:solidFill>
                        <a:srgbClr val="FFFFFF">
                          <a:alpha val="0"/>
                        </a:srgbClr>
                      </a:solidFill>
                    </wps:spPr>
                    <wps:txbx>
                      <w:txbxContent>
                        <w:p>
                          <w:pPr>
                            <w:pStyle w:val="Normal"/>
                            <w:tabs>
                              <w:tab w:val="clear" w:pos="720"/>
                              <w:tab w:val="center" w:pos="4680" w:leader="none"/>
                              <w:tab w:val="right" w:pos="9360" w:leader="none"/>
                            </w:tabs>
                            <w:rPr>
                              <w:sz w:val="18"/>
                            </w:rPr>
                          </w:pPr>
                          <w:r>
                            <w:rPr>
                              <w:sz w:val="18"/>
                            </w:rPr>
                            <w:t>C:\NSM Depo Reports\Report on Hellmold Day #1.doc</w:t>
                          </w:r>
                        </w:p>
                      </w:txbxContent>
                    </wps:txbx>
                    <wps:bodyPr anchor="t" lIns="635" tIns="635" rIns="635" bIns="635">
                      <a:noAutofit/>
                    </wps:bodyPr>
                  </wps:wsp>
                </a:graphicData>
              </a:graphic>
            </wp:anchor>
          </w:drawing>
        </mc:Choice>
        <mc:Fallback>
          <w:pict>
            <v:rect fillcolor="#FFFFFF" style="position:absolute;rotation:-0;width:468pt;height:11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Normal"/>
                      <w:tabs>
                        <w:tab w:val="clear" w:pos="720"/>
                        <w:tab w:val="center" w:pos="4680" w:leader="none"/>
                        <w:tab w:val="right" w:pos="9360" w:leader="none"/>
                      </w:tabs>
                      <w:rPr>
                        <w:sz w:val="18"/>
                      </w:rPr>
                    </w:pPr>
                    <w:r>
                      <w:rPr>
                        <w:sz w:val="18"/>
                      </w:rPr>
                      <w:t>C:\NSM Depo Reports\Report on Hellmold Day #1.doc</w:t>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Memorandum to Richard Sanders </w:t>
    </w:r>
  </w:p>
  <w:p>
    <w:pPr>
      <w:pStyle w:val="Header"/>
      <w:rPr/>
    </w:pPr>
    <w:r>
      <w:rPr/>
    </w:r>
  </w:p>
  <w:p>
    <w:pPr>
      <w:pStyle w:val="Header"/>
      <w:spacing w:before="0" w:after="480"/>
      <w:rPr/>
    </w:pPr>
    <w:r>
      <w:rPr/>
      <w:t xml:space="preserve">Page </w:t>
    </w:r>
    <w:r>
      <w:rPr/>
      <w:fldChar w:fldCharType="begin"/>
    </w:r>
    <w:r>
      <w:rPr/>
      <w:instrText xml:space="preserve"> PAGE </w:instrText>
    </w:r>
    <w:r>
      <w:rPr/>
      <w:fldChar w:fldCharType="separate"/>
    </w:r>
    <w:r>
      <w:rPr/>
      <w:t>4</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etterhead"/>
      <w:rPr>
        <w:spacing w:val="80"/>
        <w:sz w:val="32"/>
      </w:rPr>
    </w:pPr>
    <w:bookmarkStart w:id="0" w:name="zzmpFIXED_LHFirstPage"/>
    <w:bookmarkEnd w:id="0"/>
    <w:r>
      <w:rPr>
        <w:spacing w:val="80"/>
        <w:sz w:val="32"/>
      </w:rPr>
      <w:t>ALSCHULER GROSSMAN STEIN &amp; KAHAN LLP</w:t>
    </w:r>
  </w:p>
  <w:p>
    <w:pPr>
      <w:pStyle w:val="Letterhead"/>
      <w:spacing w:before="40" w:after="0"/>
      <w:rPr>
        <w:spacing w:val="80"/>
        <w:sz w:val="22"/>
      </w:rPr>
    </w:pPr>
    <w:r>
      <w:rPr>
        <w:spacing w:val="80"/>
        <w:sz w:val="22"/>
      </w:rPr>
      <w:t>ATTORNEYS AT LAW</w:t>
    </w:r>
  </w:p>
  <w:p>
    <w:pPr>
      <w:pStyle w:val="Header"/>
      <w:rPr>
        <w:spacing w:val="80"/>
        <w:sz w:val="22"/>
      </w:rPr>
    </w:pPr>
    <w:r>
      <w:rPr>
        <w:spacing w:val="80"/>
        <w:sz w:val="22"/>
      </w:rPr>
    </w:r>
    <w:bookmarkStart w:id="1" w:name="zzmpFIXED_LHFirstPage"/>
    <w:bookmarkStart w:id="2" w:name="zzmpFIXED_LHFirstPage"/>
    <w:bookmarkEnd w:id="2"/>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Stamp_1_DocID" w:val="C:\NSM Depo Reports\Report on Hellmold Day #1.doc"/>
    <w:docVar w:name="DocStamp_1_IncludeDate" w:val="False"/>
    <w:docVar w:name="DocStamp_1_IncludeDraftText" w:val="False"/>
    <w:docVar w:name="DocStamp_1_IncludeTime" w:val="False"/>
    <w:docVar w:name="DocStamp_1_InsertDateAsField" w:val="False"/>
    <w:docVar w:name="DocStamp_1_TypeID" w:val="1"/>
    <w:docVar w:name="MPDocID" w:val="C:\NSM Depo Reports\Report on Hellmold Day #1.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erkeley" w:hAnsi="Berkeley" w:eastAsia="Times New Roman" w:cs="Berkeley"/>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Continued">
    <w:name w:val="Body Text Continued"/>
    <w:basedOn w:val="BodyText"/>
    <w:next w:val="BodyText"/>
    <w:qFormat/>
    <w:pPr>
      <w:ind w:hanging="0" w:start="0" w:end="0"/>
    </w:pPr>
    <w:rPr>
      <w:szCs w:val="20"/>
    </w:rPr>
  </w:style>
  <w:style w:type="paragraph" w:styleId="Quote">
    <w:name w:val="Quote"/>
    <w:basedOn w:val="Normal"/>
    <w:next w:val="BodyTextContinued"/>
    <w:qFormat/>
    <w:pPr>
      <w:spacing w:before="0" w:after="240"/>
      <w:ind w:hanging="0" w:start="1440" w:end="1440"/>
    </w:pPr>
    <w:rPr>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Letterhead">
    <w:name w:val="Letterhead"/>
    <w:qFormat/>
    <w:pPr>
      <w:widowControl/>
      <w:tabs>
        <w:tab w:val="clear" w:pos="720"/>
        <w:tab w:val="center" w:pos="1886" w:leader="none"/>
      </w:tabs>
      <w:bidi w:val="0"/>
      <w:jc w:val="center"/>
    </w:pPr>
    <w:rPr>
      <w:rFonts w:ascii="Berkeley" w:hAnsi="Berkeley" w:eastAsia="Times New Roman" w:cs="Berkeley"/>
      <w:color w:val="auto"/>
      <w:spacing w:val="2"/>
      <w:sz w:val="16"/>
      <w:szCs w:val="20"/>
      <w:lang w:val="en-US" w:eastAsia="en-CA" w:bidi="ar-SA"/>
    </w:rPr>
  </w:style>
  <w:style w:type="paragraph" w:styleId="tblText">
    <w:name w:val="tbl Text"/>
    <w:basedOn w:val="Normal"/>
    <w:qFormat/>
    <w:pPr>
      <w:spacing w:before="0" w:after="120"/>
      <w:ind w:hanging="0" w:start="0" w:end="216"/>
    </w:pPr>
    <w:rPr>
      <w:szCs w:val="20"/>
    </w:rPr>
  </w:style>
  <w:style w:type="paragraph" w:styleId="MemoDate">
    <w:name w:val="Memo Date"/>
    <w:basedOn w:val="tblText"/>
    <w:qFormat/>
    <w:pPr/>
    <w:rPr/>
  </w:style>
  <w:style w:type="paragraph" w:styleId="tblHeading">
    <w:name w:val="tbl Heading"/>
    <w:basedOn w:val="tblText"/>
    <w:qFormat/>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2001-04-20T01:57:00Z</dcterms:created>
  <dc:creator>Default</dc:creator>
  <dc:description/>
  <dc:language>en-CA</dc:language>
  <cp:lastModifiedBy>SHOWARD</cp:lastModifiedBy>
  <dcterms:modified xsi:type="dcterms:W3CDTF">2001-04-20T03:00:00Z</dcterms:modified>
  <cp:revision>4</cp:revision>
  <dc:subject/>
  <dc:title>To:</dc:title>
</cp:coreProperties>
</file>