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drawing>
          <wp:inline distT="0" distB="0" distL="0" distR="0">
            <wp:extent cx="1003300" cy="9779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03300" cy="977900"/>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r>
              <w:rPr/>
              <w:t>Tony Valentine, Dick Robinson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0"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rPr/>
            </w:pPr>
            <w:r>
              <w:rPr/>
              <w:t>Lynn Bellinghausen, Sonya Gasdia</w:t>
            </w:r>
          </w:p>
        </w:tc>
        <w:tc>
          <w:tcPr>
            <w:tcW w:w="990" w:type="dxa"/>
            <w:tcBorders/>
          </w:tcPr>
          <w:p>
            <w:pPr>
              <w:pStyle w:val="Normal"/>
              <w:ind w:start="-180" w:end="0"/>
              <w:jc w:val="end"/>
              <w:rPr>
                <w:sz w:val="16"/>
                <w:szCs w:val="16"/>
              </w:rPr>
            </w:pPr>
            <w:r>
              <w:rPr>
                <w:sz w:val="16"/>
                <w:szCs w:val="16"/>
              </w:rPr>
              <w:t>Department:</w:t>
            </w:r>
          </w:p>
        </w:tc>
        <w:tc>
          <w:tcPr>
            <w:tcW w:w="2965" w:type="dxa"/>
            <w:tcBorders/>
          </w:tcPr>
          <w:p>
            <w:pPr>
              <w:pStyle w:val="Department"/>
              <w:rPr/>
            </w:pPr>
            <w:bookmarkStart w:id="0" w:name="From"/>
            <w:bookmarkEnd w:id="0"/>
            <w:r>
              <w:rPr/>
              <w:t>Risk Assessment &amp; Control</w:t>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end"/>
              <w:rPr>
                <w:sz w:val="16"/>
                <w:szCs w:val="16"/>
              </w:rPr>
            </w:pPr>
            <w:r>
              <w:rPr>
                <w:sz w:val="16"/>
                <w:szCs w:val="16"/>
              </w:rPr>
              <w:t>Subject:</w:t>
            </w:r>
          </w:p>
        </w:tc>
        <w:tc>
          <w:tcPr>
            <w:tcW w:w="6045" w:type="dxa"/>
            <w:tcBorders>
              <w:bottom w:val="single" w:sz="12" w:space="0" w:color="000000"/>
            </w:tcBorders>
          </w:tcPr>
          <w:p>
            <w:pPr>
              <w:pStyle w:val="Subject"/>
              <w:rPr/>
            </w:pPr>
            <w:r>
              <w:rPr/>
              <w:t>Kafus/CanFibre Site Visit and Review</w:t>
            </w:r>
          </w:p>
        </w:tc>
        <w:tc>
          <w:tcPr>
            <w:tcW w:w="990" w:type="dxa"/>
            <w:tcBorders>
              <w:bottom w:val="single" w:sz="12" w:space="0" w:color="000000"/>
            </w:tcBorders>
          </w:tcPr>
          <w:p>
            <w:pPr>
              <w:pStyle w:val="Normal"/>
              <w:ind w:start="-180" w:end="0"/>
              <w:jc w:val="end"/>
              <w:rPr>
                <w:sz w:val="16"/>
                <w:szCs w:val="16"/>
              </w:rPr>
            </w:pPr>
            <w:r>
              <w:rPr>
                <w:sz w:val="16"/>
                <w:szCs w:val="16"/>
              </w:rPr>
              <w:t>Date:</w:t>
            </w:r>
          </w:p>
        </w:tc>
        <w:tc>
          <w:tcPr>
            <w:tcW w:w="2965" w:type="dxa"/>
            <w:tcBorders>
              <w:bottom w:val="single" w:sz="12" w:space="0" w:color="000000"/>
            </w:tcBorders>
          </w:tcPr>
          <w:p>
            <w:pPr>
              <w:pStyle w:val="Date"/>
              <w:rPr/>
            </w:pPr>
            <w:r>
              <w:rPr/>
              <w:t>June 15, 1998</w:t>
            </w:r>
          </w:p>
        </w:tc>
      </w:tr>
    </w:tbl>
    <w:p>
      <w:pPr>
        <w:pStyle w:val="Body"/>
        <w:ind w:start="0" w:end="0"/>
        <w:rPr/>
      </w:pPr>
      <w:bookmarkStart w:id="1" w:name="StartOfMemo"/>
      <w:bookmarkEnd w:id="1"/>
      <w:r>
        <w:rPr/>
        <w:t xml:space="preserve">On June 10 – 12, 1998 a site visit and review was conducted at Kafus/CanFibre construction site in Riverside California and corporate offices in Vancouver by Lynn Bellinghausen and Sonya Gasdia.  The purpose of the Riverside visit was to attend an investor and analyst luncheon and to observe the construction progress of CanFibre’s Riverside, California medium density fiberboard (MDF) plant. During the review in Vancouver, accounting and financial information was reviewed with Isaac Moss and Rochelle Pires Controller including sources and uses of cash, G &amp; A expenses, consulting agreements, and other matters as deemed necessary. The information listed below is the result of our review, which was not intended to be as broad in scope as an audit.   </w:t>
      </w:r>
    </w:p>
    <w:p>
      <w:pPr>
        <w:pStyle w:val="Body"/>
        <w:ind w:start="0" w:end="0"/>
        <w:rPr/>
      </w:pPr>
      <w:r>
        <w:rPr/>
      </w:r>
    </w:p>
    <w:p>
      <w:pPr>
        <w:pStyle w:val="Body"/>
        <w:ind w:start="0" w:end="0"/>
        <w:rPr/>
      </w:pPr>
      <w:r>
        <w:rPr/>
        <w:t xml:space="preserve">Listed below are a summary of items reviewed and/or findings.  </w:t>
      </w:r>
    </w:p>
    <w:p>
      <w:pPr>
        <w:pStyle w:val="Body"/>
        <w:ind w:start="0" w:end="0"/>
        <w:rPr/>
      </w:pPr>
      <w:r>
        <w:rPr/>
      </w:r>
    </w:p>
    <w:p>
      <w:pPr>
        <w:pStyle w:val="Body"/>
        <w:ind w:start="0" w:end="0"/>
        <w:rPr>
          <w:b/>
          <w:bCs/>
        </w:rPr>
      </w:pPr>
      <w:r>
        <w:rPr>
          <w:b/>
          <w:bCs/>
        </w:rPr>
        <w:t>I . Management, Consultant, and Investor Relations Agreements</w:t>
      </w:r>
    </w:p>
    <w:p>
      <w:pPr>
        <w:pStyle w:val="Body"/>
        <w:ind w:start="0" w:end="0"/>
        <w:rPr/>
      </w:pPr>
      <w:r>
        <w:rPr>
          <w:b/>
          <w:bCs/>
        </w:rPr>
        <w:t xml:space="preserve"> </w:t>
      </w:r>
      <w:r>
        <w:rPr/>
        <w:t xml:space="preserve">For income tax purposes, several members of Kafus management are paid management fees rather than receiving a salary and are not considered employees. Additionally, the Company has a number of consultants providing services such as investor and public relations, tax planning and compliance, and financial services.   </w:t>
      </w:r>
    </w:p>
    <w:p>
      <w:pPr>
        <w:pStyle w:val="Body"/>
        <w:ind w:start="0" w:end="0"/>
        <w:rPr>
          <w:b/>
          <w:bCs/>
        </w:rPr>
      </w:pPr>
      <w:r>
        <w:rPr>
          <w:b/>
          <w:bCs/>
        </w:rPr>
      </w:r>
    </w:p>
    <w:p>
      <w:pPr>
        <w:pStyle w:val="Body"/>
        <w:ind w:start="0" w:end="0"/>
        <w:rPr/>
      </w:pPr>
      <w:r>
        <w:rPr/>
        <w:t xml:space="preserve">See </w:t>
      </w:r>
      <w:r>
        <w:rPr>
          <w:b/>
          <w:bCs/>
        </w:rPr>
        <w:t>Exhibit 1</w:t>
      </w:r>
      <w:r>
        <w:rPr/>
        <w:t xml:space="preserve">, which summarizes details of the agreements. </w:t>
      </w:r>
    </w:p>
    <w:p>
      <w:pPr>
        <w:pStyle w:val="Body"/>
        <w:ind w:start="0" w:end="0"/>
        <w:rPr/>
      </w:pPr>
      <w:r>
        <w:rPr/>
      </w:r>
    </w:p>
    <w:p>
      <w:pPr>
        <w:pStyle w:val="Body"/>
        <w:ind w:start="720" w:end="0"/>
        <w:rPr>
          <w:b/>
          <w:bCs/>
        </w:rPr>
      </w:pPr>
      <w:r>
        <w:rPr>
          <w:b/>
          <w:bCs/>
        </w:rPr>
        <w:t>Conclusion:</w:t>
      </w:r>
      <w:r>
        <w:rPr/>
        <w:t xml:space="preserve"> Management, Consultant, and Investor Relations Agreements</w:t>
      </w:r>
      <w:r>
        <w:rPr>
          <w:b/>
          <w:bCs/>
        </w:rPr>
        <w:t xml:space="preserve"> </w:t>
      </w:r>
      <w:r>
        <w:rPr/>
        <w:t xml:space="preserve">appear to be reasonable based on the size and nature of the company and the Canadian tax environment.  </w:t>
      </w:r>
    </w:p>
    <w:p>
      <w:pPr>
        <w:pStyle w:val="Body"/>
        <w:ind w:start="0" w:end="0"/>
        <w:rPr>
          <w:b/>
          <w:bCs/>
        </w:rPr>
      </w:pPr>
      <w:r>
        <w:rPr>
          <w:b/>
          <w:bCs/>
        </w:rPr>
      </w:r>
    </w:p>
    <w:p>
      <w:pPr>
        <w:pStyle w:val="Body"/>
        <w:ind w:start="0" w:end="0"/>
        <w:rPr/>
      </w:pPr>
      <w:r>
        <w:rPr>
          <w:b/>
          <w:bCs/>
        </w:rPr>
        <w:t xml:space="preserve">II. G&amp;A Expense Analysis – </w:t>
      </w:r>
      <w:r>
        <w:rPr/>
        <w:t>A review of G&amp; A expense indicated that Legal Expense and Travel Expense was on the high end of an acceptable range. Therefore, the following analysis was performed:</w:t>
      </w:r>
    </w:p>
    <w:p>
      <w:pPr>
        <w:pStyle w:val="Body"/>
        <w:ind w:start="0" w:end="0"/>
        <w:rPr/>
      </w:pPr>
      <w:r>
        <w:rPr/>
      </w:r>
    </w:p>
    <w:p>
      <w:pPr>
        <w:pStyle w:val="Body"/>
        <w:numPr>
          <w:ilvl w:val="0"/>
          <w:numId w:val="2"/>
        </w:numPr>
        <w:tabs>
          <w:tab w:val="left" w:pos="0" w:leader="none"/>
          <w:tab w:val="left" w:pos="720" w:leader="none"/>
        </w:tabs>
        <w:ind w:hanging="720" w:start="720" w:end="0"/>
        <w:rPr>
          <w:b/>
          <w:bCs/>
        </w:rPr>
      </w:pPr>
      <w:r>
        <w:rPr>
          <w:b/>
          <w:bCs/>
        </w:rPr>
        <w:t>A review of the Kafus Cash Budget and detail that supported significant line items.</w:t>
      </w:r>
    </w:p>
    <w:p>
      <w:pPr>
        <w:pStyle w:val="Body"/>
        <w:numPr>
          <w:ilvl w:val="0"/>
          <w:numId w:val="0"/>
        </w:numPr>
        <w:tabs>
          <w:tab w:val="left" w:pos="360" w:leader="none"/>
        </w:tabs>
        <w:ind w:hanging="0" w:start="720" w:end="0"/>
        <w:rPr/>
      </w:pPr>
      <w:r>
        <w:rPr/>
        <w:t>Upon reviewing the Kafus Overall Cash Budget, several line items for Overhead were noted. A schedule of monthly operating costs was provided that supports each Overhead line item.  The detail of the monthly operating costs revealed normal operating expenses such as rent (which were compared to lease documents), utilities, and salaries.  A schedule of Kafus employees (</w:t>
      </w:r>
      <w:r>
        <w:rPr>
          <w:b/>
          <w:bCs/>
        </w:rPr>
        <w:t>Exhibit</w:t>
      </w:r>
      <w:r>
        <w:rPr/>
        <w:t xml:space="preserve"> </w:t>
      </w:r>
      <w:r>
        <w:rPr>
          <w:b/>
          <w:bCs/>
        </w:rPr>
        <w:t>2</w:t>
      </w:r>
      <w:r>
        <w:rPr/>
        <w:t xml:space="preserve">) was obtained which provided reasonable support for the salary components.  Consultant and management fees were compared to respective agreements. </w:t>
      </w:r>
      <w:r>
        <w:rPr>
          <w:i/>
          <w:iCs/>
        </w:rPr>
        <w:t>Once the analysis of details was complete and the operating costs budget was compared to the overall cash budget, an approximate $45M per month “cushion” was noted.  Per discussion with Mike McCabe, President &amp; CEO of Kafus Boston, the “cushion” was included for unforeseen expenses such as business development expenses, tax opinions (KPMG), additional legal fees, etc.</w:t>
      </w:r>
    </w:p>
    <w:p>
      <w:pPr>
        <w:pStyle w:val="Body"/>
        <w:numPr>
          <w:ilvl w:val="0"/>
          <w:numId w:val="0"/>
        </w:numPr>
        <w:ind w:hanging="0" w:start="0" w:end="0"/>
        <w:rPr/>
      </w:pPr>
      <w:r>
        <w:rPr/>
      </w:r>
    </w:p>
    <w:p>
      <w:pPr>
        <w:pStyle w:val="Body"/>
        <w:numPr>
          <w:ilvl w:val="0"/>
          <w:numId w:val="2"/>
        </w:numPr>
        <w:tabs>
          <w:tab w:val="left" w:pos="0" w:leader="none"/>
          <w:tab w:val="left" w:pos="720" w:leader="none"/>
        </w:tabs>
        <w:ind w:hanging="720" w:start="720" w:end="0"/>
        <w:rPr>
          <w:b/>
          <w:bCs/>
        </w:rPr>
      </w:pPr>
      <w:r>
        <w:rPr>
          <w:b/>
          <w:bCs/>
        </w:rPr>
        <w:t xml:space="preserve">A review of G&amp;A expense general ledger detail for 1997 to April 1998 with an emphasis on Legal and                                                  </w:t>
      </w:r>
    </w:p>
    <w:p>
      <w:pPr>
        <w:pStyle w:val="Body"/>
        <w:numPr>
          <w:ilvl w:val="0"/>
          <w:numId w:val="0"/>
        </w:numPr>
        <w:tabs>
          <w:tab w:val="left" w:pos="1080" w:leader="none"/>
        </w:tabs>
        <w:ind w:hanging="0" w:start="0" w:end="0"/>
        <w:rPr>
          <w:b/>
          <w:bCs/>
        </w:rPr>
      </w:pPr>
      <w:r>
        <w:rPr>
          <w:b/>
          <w:bCs/>
        </w:rPr>
        <w:t>Travel expense.</w:t>
      </w:r>
    </w:p>
    <w:p>
      <w:pPr>
        <w:pStyle w:val="Body"/>
        <w:numPr>
          <w:ilvl w:val="0"/>
          <w:numId w:val="0"/>
        </w:numPr>
        <w:tabs>
          <w:tab w:val="left" w:pos="360" w:leader="none"/>
        </w:tabs>
        <w:ind w:hanging="0" w:start="360" w:end="0"/>
        <w:rPr>
          <w:i/>
          <w:i/>
          <w:iCs/>
        </w:rPr>
      </w:pPr>
      <w:r>
        <w:rPr/>
        <w:t>A review of the general ledger detail for G&amp;A Expense for 1997 to April 1998 revealed no out of the ordinary expenses.</w:t>
      </w:r>
      <w:r>
        <w:rPr>
          <w:i/>
          <w:iCs/>
        </w:rPr>
        <w:t xml:space="preserve"> </w:t>
      </w:r>
      <w:r>
        <w:rPr/>
        <w:t xml:space="preserve"> Overall, most expense categories increased and were explained by the fact Kafus’ activities are expanding.  However some categories such as legal and travel appeared significantly high and were reviewed with emphasis.  </w:t>
      </w:r>
    </w:p>
    <w:p>
      <w:pPr>
        <w:pStyle w:val="Body"/>
        <w:numPr>
          <w:ilvl w:val="0"/>
          <w:numId w:val="0"/>
        </w:numPr>
        <w:ind w:hanging="0" w:start="72"/>
        <w:rPr>
          <w:i/>
          <w:i/>
          <w:iCs/>
        </w:rPr>
      </w:pPr>
      <w:r>
        <w:rPr>
          <w:i/>
          <w:iCs/>
        </w:rPr>
      </w:r>
    </w:p>
    <w:p>
      <w:pPr>
        <w:pStyle w:val="Body"/>
        <w:numPr>
          <w:ilvl w:val="0"/>
          <w:numId w:val="0"/>
        </w:numPr>
        <w:ind w:hanging="0" w:start="360" w:end="0"/>
        <w:rPr/>
      </w:pPr>
      <w:r>
        <w:rPr>
          <w:b/>
          <w:bCs/>
        </w:rPr>
        <w:t>Legal Fees</w:t>
      </w:r>
      <w:r>
        <w:rPr/>
        <w:t xml:space="preserve"> - Total 1998 legal fees to April 30 (7 months) totaled CND$621M while 1997 legal fees for the year totaled CND$224.  Per discussion with Rochelle Pires, the increase is attributed to SEC compliance and filing fees ($164M) and settled and pending litigation fees ($366M).  See (</w:t>
      </w:r>
      <w:r>
        <w:rPr>
          <w:b/>
          <w:bCs/>
        </w:rPr>
        <w:t>Exhibit 3</w:t>
      </w:r>
      <w:r>
        <w:rPr/>
        <w:t>) for a description of legal proceedings.   Kafus currently has no outstanding pending litigation.</w:t>
      </w:r>
    </w:p>
    <w:p>
      <w:pPr>
        <w:pStyle w:val="Body"/>
        <w:numPr>
          <w:ilvl w:val="0"/>
          <w:numId w:val="0"/>
        </w:numPr>
        <w:ind w:hanging="0" w:start="360" w:end="0"/>
        <w:rPr>
          <w:b/>
          <w:bCs/>
        </w:rPr>
      </w:pPr>
      <w:r>
        <w:rPr>
          <w:b/>
          <w:bCs/>
        </w:rPr>
      </w:r>
    </w:p>
    <w:p>
      <w:pPr>
        <w:pStyle w:val="Body"/>
        <w:numPr>
          <w:ilvl w:val="0"/>
          <w:numId w:val="0"/>
        </w:numPr>
        <w:ind w:hanging="0" w:start="360" w:end="0"/>
        <w:rPr/>
      </w:pPr>
      <w:r>
        <w:rPr>
          <w:b/>
          <w:bCs/>
        </w:rPr>
        <w:t>Travel Expenses</w:t>
      </w:r>
      <w:r>
        <w:rPr/>
        <w:t xml:space="preserve"> – While reviewing the operating expense budget it was noted that approximately CND$37M </w:t>
      </w:r>
      <w:r>
        <w:rPr>
          <w:b/>
          <w:bCs/>
        </w:rPr>
        <w:t>per month</w:t>
      </w:r>
      <w:r>
        <w:rPr/>
        <w:t xml:space="preserve"> has been budgeted for travel and entertainment for three individuals.  Travel expense incurred to April 30, 1998 (7 months) is CND$191M.  Given the nature of the company and the fact that there are offices/facilities in Vancouver, Toronto, Boston MA, Riverside CA, Lackawana NY, South Texas, and Europe, it is not surprising that such expenses would accumulate.  However, to ensure that travel expenses were bonafide business expenses, a sample of travel and entertainment expenses were reviewed.  See 3. below.</w:t>
      </w:r>
    </w:p>
    <w:p>
      <w:pPr>
        <w:pStyle w:val="Body"/>
        <w:numPr>
          <w:ilvl w:val="0"/>
          <w:numId w:val="0"/>
        </w:numPr>
        <w:ind w:hanging="0" w:start="360" w:end="0"/>
        <w:rPr>
          <w:b/>
          <w:bCs/>
        </w:rPr>
      </w:pPr>
      <w:r>
        <w:rPr>
          <w:b/>
          <w:bCs/>
        </w:rPr>
      </w:r>
    </w:p>
    <w:p>
      <w:pPr>
        <w:pStyle w:val="Body"/>
        <w:numPr>
          <w:ilvl w:val="0"/>
          <w:numId w:val="0"/>
        </w:numPr>
        <w:ind w:hanging="0" w:start="0" w:end="0"/>
        <w:rPr/>
      </w:pPr>
      <w:r>
        <w:rPr>
          <w:b/>
          <w:bCs/>
        </w:rPr>
        <w:t>Conclusion</w:t>
      </w:r>
      <w:r>
        <w:rPr/>
        <w:t>: G&amp;A expenses appeared to be supported and legitimate business expenses and are attributed to the</w:t>
      </w:r>
    </w:p>
    <w:p>
      <w:pPr>
        <w:pStyle w:val="Body"/>
        <w:numPr>
          <w:ilvl w:val="0"/>
          <w:numId w:val="0"/>
        </w:numPr>
        <w:ind w:hanging="0" w:start="0" w:end="0"/>
        <w:rPr/>
      </w:pPr>
      <w:r>
        <w:rPr/>
        <w:t xml:space="preserve"> </w:t>
      </w:r>
      <w:r>
        <w:rPr/>
        <w:t>fact that Kafus seeks to expand domestically and globally.</w:t>
      </w:r>
    </w:p>
    <w:p>
      <w:pPr>
        <w:pStyle w:val="Body"/>
        <w:numPr>
          <w:ilvl w:val="0"/>
          <w:numId w:val="0"/>
        </w:numPr>
        <w:tabs>
          <w:tab w:val="left" w:pos="1080" w:leader="none"/>
        </w:tabs>
        <w:ind w:hanging="0" w:start="0" w:end="0"/>
        <w:rPr>
          <w:b/>
          <w:bCs/>
        </w:rPr>
      </w:pPr>
      <w:r>
        <w:rPr>
          <w:b/>
          <w:bCs/>
        </w:rPr>
      </w:r>
    </w:p>
    <w:p>
      <w:pPr>
        <w:pStyle w:val="Body"/>
        <w:numPr>
          <w:ilvl w:val="0"/>
          <w:numId w:val="2"/>
        </w:numPr>
        <w:tabs>
          <w:tab w:val="left" w:pos="0" w:leader="none"/>
          <w:tab w:val="left" w:pos="720" w:leader="none"/>
        </w:tabs>
        <w:ind w:hanging="720" w:start="720" w:end="0"/>
        <w:rPr>
          <w:b/>
          <w:bCs/>
        </w:rPr>
      </w:pPr>
      <w:r>
        <w:rPr>
          <w:b/>
          <w:bCs/>
        </w:rPr>
        <w:t xml:space="preserve">A review of the January through March 1998 expense reports for Kenneth Swaisland, Chairman. </w:t>
      </w:r>
    </w:p>
    <w:p>
      <w:pPr>
        <w:pStyle w:val="Body"/>
        <w:ind w:start="720" w:end="0"/>
        <w:rPr/>
      </w:pPr>
      <w:r>
        <w:rPr/>
      </w:r>
    </w:p>
    <w:p>
      <w:pPr>
        <w:pStyle w:val="Body"/>
        <w:tabs>
          <w:tab w:val="left" w:pos="360" w:leader="none"/>
        </w:tabs>
        <w:ind w:start="360" w:end="0"/>
        <w:rPr/>
      </w:pPr>
      <w:r>
        <w:rPr/>
        <w:t xml:space="preserve">Because the travel and entertainment expenses appeared significant, a sample of expense reports submitted by Ken Swaisland was examined.  </w:t>
      </w:r>
    </w:p>
    <w:p>
      <w:pPr>
        <w:pStyle w:val="Body"/>
        <w:tabs>
          <w:tab w:val="left" w:pos="360" w:leader="none"/>
        </w:tabs>
        <w:ind w:start="0" w:end="0"/>
        <w:rPr/>
      </w:pPr>
      <w:r>
        <w:rPr/>
      </w:r>
    </w:p>
    <w:p>
      <w:pPr>
        <w:pStyle w:val="Body"/>
        <w:ind w:start="720" w:end="0"/>
        <w:rPr/>
      </w:pPr>
      <w:r>
        <w:rPr>
          <w:b/>
          <w:bCs/>
        </w:rPr>
        <w:t xml:space="preserve">Conclusion:   </w:t>
      </w:r>
      <w:r>
        <w:rPr/>
        <w:t>Based on our examination of January February and March 1998 expense reports, the travel and entertainment expenses appeared to be bona fide business expenses and personal expenses were properly excluded.</w:t>
      </w:r>
      <w:r>
        <w:rPr>
          <w:b/>
          <w:bCs/>
        </w:rPr>
        <w:t xml:space="preserve">   </w:t>
      </w:r>
    </w:p>
    <w:p>
      <w:pPr>
        <w:pStyle w:val="Body"/>
        <w:ind w:start="0" w:end="0"/>
        <w:rPr>
          <w:b/>
          <w:bCs/>
        </w:rPr>
      </w:pPr>
      <w:r>
        <w:rPr>
          <w:b/>
          <w:bCs/>
        </w:rPr>
      </w:r>
    </w:p>
    <w:p>
      <w:pPr>
        <w:pStyle w:val="Body"/>
        <w:ind w:start="0" w:end="0"/>
        <w:rPr/>
      </w:pPr>
      <w:r>
        <w:rPr>
          <w:b/>
          <w:bCs/>
        </w:rPr>
        <w:t xml:space="preserve">III.  Sources and Uses of Cash – </w:t>
      </w:r>
      <w:r>
        <w:rPr/>
        <w:t xml:space="preserve">A schedule of sources and uses of cash was reviewed with no items being noted as improper or unusual.  See </w:t>
      </w:r>
      <w:r>
        <w:rPr>
          <w:b/>
          <w:bCs/>
        </w:rPr>
        <w:t>Exhibit 5</w:t>
      </w:r>
      <w:r>
        <w:rPr/>
        <w:t xml:space="preserve"> for details.</w:t>
      </w:r>
    </w:p>
    <w:p>
      <w:pPr>
        <w:pStyle w:val="Body"/>
        <w:ind w:start="0" w:end="0"/>
        <w:rPr>
          <w:b/>
          <w:bCs/>
        </w:rPr>
      </w:pPr>
      <w:r>
        <w:rPr>
          <w:b/>
          <w:bCs/>
        </w:rPr>
      </w:r>
    </w:p>
    <w:p>
      <w:pPr>
        <w:pStyle w:val="Body"/>
        <w:ind w:start="0" w:end="0"/>
        <w:rPr/>
      </w:pPr>
      <w:r>
        <w:rPr>
          <w:b/>
          <w:bCs/>
        </w:rPr>
        <w:t xml:space="preserve">IV.  Options Granted/Exercised – </w:t>
      </w:r>
      <w:r>
        <w:rPr/>
        <w:t xml:space="preserve">Options have been granted to various consultants and employees.  See </w:t>
      </w:r>
      <w:r>
        <w:rPr>
          <w:b/>
          <w:bCs/>
        </w:rPr>
        <w:t>Exhibit 6</w:t>
      </w:r>
      <w:r>
        <w:rPr/>
        <w:t xml:space="preserve"> for details.</w:t>
      </w:r>
      <w:r>
        <w:rPr>
          <w:b/>
          <w:bCs/>
        </w:rPr>
        <w:t xml:space="preserve">  </w:t>
      </w:r>
    </w:p>
    <w:p>
      <w:pPr>
        <w:pStyle w:val="Body"/>
        <w:ind w:start="0" w:end="0"/>
        <w:rPr>
          <w:b/>
          <w:bCs/>
        </w:rPr>
      </w:pPr>
      <w:r>
        <w:rPr>
          <w:b/>
          <w:bCs/>
        </w:rPr>
      </w:r>
    </w:p>
    <w:p>
      <w:pPr>
        <w:pStyle w:val="Body"/>
        <w:ind w:start="0" w:end="0"/>
        <w:rPr/>
      </w:pPr>
      <w:r>
        <w:rPr>
          <w:b/>
          <w:bCs/>
        </w:rPr>
        <w:t xml:space="preserve">V. Accounting System and Personnel - </w:t>
      </w:r>
      <w:r>
        <w:rPr/>
        <w:t xml:space="preserve">The current accounting staff appears adequate.  Since the acting CFO is only a temporary consultant, the Company is in the process of recruiting a permanent CFO. This position will be key to the Company’s future growth.   </w:t>
      </w:r>
      <w:r>
        <w:rPr>
          <w:b/>
          <w:bCs/>
        </w:rPr>
        <w:t xml:space="preserve"> </w:t>
      </w:r>
    </w:p>
    <w:p>
      <w:pPr>
        <w:pStyle w:val="Body"/>
        <w:ind w:start="0" w:end="0"/>
        <w:rPr>
          <w:b/>
          <w:bCs/>
        </w:rPr>
      </w:pPr>
      <w:r>
        <w:rPr>
          <w:b/>
          <w:bCs/>
        </w:rPr>
      </w:r>
    </w:p>
    <w:p>
      <w:pPr>
        <w:pStyle w:val="Body"/>
        <w:ind w:start="0" w:end="0"/>
        <w:rPr/>
      </w:pPr>
      <w:r>
        <w:rPr/>
        <w:t xml:space="preserve">New accounting software has been purchased and will soon be implemented which should facilitate the budgeting and budget variance analysis process.  </w:t>
      </w:r>
      <w:r>
        <w:rPr>
          <w:b/>
          <w:bCs/>
        </w:rPr>
        <w:t xml:space="preserve">  </w:t>
      </w:r>
    </w:p>
    <w:p>
      <w:pPr>
        <w:pStyle w:val="Body"/>
        <w:ind w:start="0" w:end="0"/>
        <w:rPr>
          <w:b/>
          <w:bCs/>
        </w:rPr>
      </w:pPr>
      <w:r>
        <w:rPr>
          <w:b/>
          <w:bCs/>
        </w:rPr>
      </w:r>
    </w:p>
    <w:p>
      <w:pPr>
        <w:pStyle w:val="Body"/>
        <w:ind w:start="0" w:end="0"/>
        <w:rPr/>
      </w:pPr>
      <w:r>
        <w:rPr>
          <w:b/>
          <w:bCs/>
        </w:rPr>
        <w:t xml:space="preserve">VI. Offset Program – </w:t>
      </w:r>
      <w:r>
        <w:rPr/>
        <w:t xml:space="preserve">Kafus has recently announced the formation of Kafus Environmental Offset Ltd. (KEO) which has been established as a joint venture with The Coach House Group, Ltd. and Sustainable Industries, Ltd.  KEO was formed in direct response to the current global backlog of “Offset” obligations, which are used as a means to encourage foreign governments to invest capital in the country’s infrastructure.  Typically, a percentage of the contract is awarded to local industry, thus “offsetting” the total foreign exchange burden on the buying country.  In February 1998, Saudi Arabia announced its intention to impose retrospective penalties on Offset delinquents.  This action was believed to be a warning to the world’s defense contractors as an indication of future intent.    KEO plans to identify potential Offset programs where </w:t>
      </w:r>
    </w:p>
    <w:p>
      <w:pPr>
        <w:pStyle w:val="Body"/>
        <w:ind w:start="0" w:end="0"/>
        <w:rPr/>
      </w:pPr>
      <w:r>
        <w:rPr/>
        <w:t xml:space="preserve">one or more of current Kafus environmental projects can be pre-approved and applied. See </w:t>
      </w:r>
      <w:r>
        <w:rPr>
          <w:b/>
          <w:bCs/>
        </w:rPr>
        <w:t>Exhibit 4</w:t>
      </w:r>
      <w:r>
        <w:rPr/>
        <w:t xml:space="preserve"> for Kafus press release for further details. </w:t>
      </w:r>
    </w:p>
    <w:p>
      <w:pPr>
        <w:pStyle w:val="Body"/>
        <w:ind w:start="0" w:end="0"/>
        <w:rPr/>
      </w:pPr>
      <w:r>
        <w:rPr/>
        <w:t xml:space="preserve"> </w:t>
      </w:r>
    </w:p>
    <w:p>
      <w:pPr>
        <w:pStyle w:val="Body"/>
        <w:ind w:start="0" w:end="0"/>
        <w:rPr/>
      </w:pPr>
      <w:r>
        <w:rPr>
          <w:b/>
          <w:bCs/>
        </w:rPr>
        <w:t>VII.  CanFibre Riverside Site Visit -</w:t>
      </w:r>
      <w:r>
        <w:rPr/>
        <w:t xml:space="preserve"> The visit began with a luncheon presentation by Kenneth Swaisland who discussed Kafus’ and CanFibre’s performance/progress and strategic plans.  The visit concluded with a tour of the CanFibre Riverside MDF facility which according to Garry Lavold, VP CanFibre Riverside, Inc. is about 1/3 complete, and progressing as scheduled and within budget.   </w:t>
      </w:r>
    </w:p>
    <w:p>
      <w:pPr>
        <w:pStyle w:val="Body"/>
        <w:ind w:start="0" w:end="0"/>
        <w:rPr/>
      </w:pPr>
      <w:r>
        <w:rPr/>
      </w:r>
    </w:p>
    <w:p>
      <w:pPr>
        <w:pStyle w:val="Body"/>
        <w:ind w:start="0" w:end="0"/>
        <w:rPr/>
      </w:pPr>
      <w:r>
        <w:rPr/>
        <w:t>If you have any questions, please advise.</w:t>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t>cc: Rick Carson, Rick Buy, Kevin McConville, Drew Lynch, John Hopley</w:t>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jc w:val="center"/>
        <w:rPr/>
      </w:pPr>
      <w:r>
        <w:rPr/>
      </w:r>
    </w:p>
    <w:p>
      <w:pPr>
        <w:pStyle w:val="Body"/>
        <w:ind w:start="0" w:end="0"/>
        <w:jc w:val="center"/>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p>
    <w:pPr>
      <w:pStyle w:val="Footer"/>
      <w:rPr>
        <w:sz w:val="8"/>
        <w:szCs w:val="8"/>
      </w:rPr>
    </w:pPr>
    <w:r>
      <w:rPr>
        <w:sz w:val="8"/>
        <w:szCs w:val="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Kafus/CanFibre Site Visit and Review</w:t>
      <w:tab/>
      <w:tab/>
      <w:t>June 15, 1998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1998-06-22T17:42:00Z</dcterms:created>
  <dc:creator>Jeff Ford</dc:creator>
  <dc:description/>
  <dc:language>en-CA</dc:language>
  <cp:lastModifiedBy>sgasdia</cp:lastModifiedBy>
  <cp:lastPrinted>1998-06-25T09:32:00Z</cp:lastPrinted>
  <dcterms:modified xsi:type="dcterms:W3CDTF">1998-06-25T12:09:00Z</dcterms:modified>
  <cp:revision>1</cp:revision>
  <dc:subject/>
  <dc:title>Eron Capital &amp; Trade Resources Memo</dc:title>
</cp:coreProperties>
</file>