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Randy Petersen, Chris Helfrich</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Curry, Sharon Sullo, Becky Caudle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Risk Assessment &amp; Control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Kafus Due Diligence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14, 2000</w:t>
            </w:r>
          </w:p>
        </w:tc>
      </w:tr>
    </w:tbl>
    <w:p>
      <w:pPr>
        <w:pStyle w:val="Body"/>
        <w:rPr/>
      </w:pPr>
      <w:r>
        <w:rPr/>
      </w:r>
      <w:bookmarkStart w:id="1" w:name="StartOfMemo"/>
      <w:bookmarkStart w:id="2" w:name="StartOfMemo"/>
      <w:bookmarkEnd w:id="2"/>
    </w:p>
    <w:p>
      <w:pPr>
        <w:pStyle w:val="Body"/>
        <w:rPr/>
      </w:pPr>
      <w:r>
        <w:rPr/>
        <w:t>On February 28-29, 2000, we visited Kafus Industries Ltd’s (“Kafus” or “the Company”) CanFibre Riverside MDF plant facility in Riverside, California, followed by a visit to Kafus’ corporate offices in Vancouver, B.C. on March 1-3, 2000.  In Riverside, the review included operational presentations of the Riverside plant by CanFibre management and a tour of the plant.  In Vancouver, our review included a limited-scope review of the Company’s financial and accounting information and interviews with Lynda Murdock, Senior Vice President, Taxation, Audit &amp; Accounting, and Rochelle Pires, Controller.  The review was performed in response to Kafus’ request an additional investment in the Company to cover startup overruns at the CanFibre Riverside facility, and for working capital purposes at the corporate level.</w:t>
      </w:r>
    </w:p>
    <w:p>
      <w:pPr>
        <w:pStyle w:val="Body"/>
        <w:rPr/>
      </w:pPr>
      <w:r>
        <w:rPr/>
      </w:r>
    </w:p>
    <w:p>
      <w:pPr>
        <w:pStyle w:val="Body"/>
        <w:pBdr>
          <w:top w:val="double" w:sz="4" w:space="1" w:color="000000"/>
          <w:left w:val="double" w:sz="4" w:space="4" w:color="000000"/>
          <w:bottom w:val="double" w:sz="4" w:space="1" w:color="000000"/>
          <w:right w:val="double" w:sz="4" w:space="4" w:color="000000"/>
        </w:pBdr>
        <w:ind w:start="720" w:end="720"/>
        <w:rPr>
          <w:b/>
        </w:rPr>
      </w:pPr>
      <w:r>
        <w:rPr>
          <w:b/>
        </w:rPr>
        <w:t>Findings and Conclusions</w:t>
      </w:r>
    </w:p>
    <w:p>
      <w:pPr>
        <w:pStyle w:val="Body"/>
        <w:pBdr>
          <w:top w:val="double" w:sz="4" w:space="1" w:color="000000"/>
          <w:left w:val="double" w:sz="4" w:space="4" w:color="000000"/>
          <w:bottom w:val="double" w:sz="4" w:space="1" w:color="000000"/>
          <w:right w:val="double" w:sz="4" w:space="4" w:color="000000"/>
        </w:pBdr>
        <w:ind w:start="720" w:end="720"/>
        <w:rPr/>
      </w:pPr>
      <w:r>
        <w:rPr/>
        <w:t>The review identified several issues related to accounting controls as noted below:</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Significant personal expenses of management are paid by the Company and then recorded as a receivable.  These receivables are not collected on a regular basis and, therefore, are allowed to grow to a sizable balance.</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The Company has poor cash management policies.</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Spending on G&amp;A items and capital assets appears to be excessive for a company in the start-up phase with no reliable revenue sources.</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The Company does not have procedures in place to track liabilities and contingencies entered into via employment, shareholder and consultant agreements.</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Numerous cutoff issues were noted; therefore, it is difficult to determine if all 1999 expenses have been included in the accounting records.</w:t>
      </w:r>
    </w:p>
    <w:p>
      <w:pPr>
        <w:pStyle w:val="Body"/>
        <w:ind w:end="720"/>
        <w:rPr/>
      </w:pPr>
      <w:r>
        <w:rPr/>
      </w:r>
    </w:p>
    <w:p>
      <w:pPr>
        <w:pStyle w:val="Body"/>
        <w:ind w:end="720"/>
        <w:rPr>
          <w:b/>
        </w:rPr>
      </w:pPr>
      <w:r>
        <w:rPr>
          <w:b/>
        </w:rPr>
        <w:t>Background of Investment</w:t>
      </w:r>
    </w:p>
    <w:p>
      <w:pPr>
        <w:pStyle w:val="Body"/>
        <w:ind w:end="720"/>
        <w:rPr/>
      </w:pPr>
      <w:r>
        <w:rPr/>
        <w:t>Enron North America (“ENA”)  has made equity and debt investments in Kafus at the corporate level at various times, initially in July 1997.  In addition, ENA has invested in three of Kafus’ subsidiaries at the project level: CanFibre Riverside, CanFibre Lackawanna and Kafus Fortra-Fibre Cement.  As of 1/31/2000, ENA and affiliates’ total cost basis in Kafus and subsidiaries is greater than $100MM.</w:t>
      </w:r>
    </w:p>
    <w:p>
      <w:pPr>
        <w:pStyle w:val="Body"/>
        <w:ind w:end="720"/>
        <w:rPr/>
      </w:pPr>
      <w:r>
        <w:rPr/>
      </w:r>
    </w:p>
    <w:p>
      <w:pPr>
        <w:pStyle w:val="Body"/>
        <w:ind w:end="720"/>
        <w:rPr/>
      </w:pPr>
      <w:r>
        <w:rPr/>
        <w:t>At the CanFibre Riverside facility, Kafus had problems with Stone &amp; Webster, their EPC contractor, and terminated the contract prior to completion of the facility.  The project was significantly behind schedule and Kafus’ management was not satisfied with the quality of the MDF board (“MDF”) produced nor Stone &amp; Webster’s solutions to operational problems within the plant.    Kafus has requested additional funding from ENA to pay for fixes to the Riverside facility, additional start-up costs and for working capital at the corporate level.</w:t>
      </w:r>
    </w:p>
    <w:p>
      <w:pPr>
        <w:pStyle w:val="Body"/>
        <w:ind w:end="720"/>
        <w:rPr/>
      </w:pPr>
      <w:r>
        <w:rPr/>
      </w:r>
    </w:p>
    <w:p>
      <w:pPr>
        <w:pStyle w:val="Body"/>
        <w:ind w:end="720"/>
        <w:rPr>
          <w:b/>
        </w:rPr>
      </w:pPr>
      <w:r>
        <w:rPr>
          <w:b/>
        </w:rPr>
        <w:t>Operational Overview (CanFibre Riverside Facility)</w:t>
      </w:r>
    </w:p>
    <w:p>
      <w:pPr>
        <w:pStyle w:val="Body"/>
        <w:ind w:end="720"/>
        <w:rPr/>
      </w:pPr>
      <w:r>
        <w:rPr/>
        <w:t xml:space="preserve">Chris Carl, the president of CanFibre, discussed the status of the CanFibre Riverside facility.  Since CanFibre took control of the plant from Stone &amp; Webster in January 2000, the total square feet of MDF board produced increased from approximately 2MM sq. ft. per month to 2.5MM sq. ft. per month in February.  In addition, over the same time period, the percentage of A-grade MDF board has increased from 32% to 51% of the total MDF board produced.  Projected volume of MDF at the plant will ramp up to 6.2MM sq. ft. per month by July 2000, with 90% of production projected to be A-grade board. </w:t>
      </w:r>
    </w:p>
    <w:p>
      <w:pPr>
        <w:pStyle w:val="Body"/>
        <w:ind w:end="720"/>
        <w:rPr/>
      </w:pPr>
      <w:r>
        <w:rPr/>
      </w:r>
      <w:r>
        <w:br w:type="page"/>
      </w:r>
    </w:p>
    <w:p>
      <w:pPr>
        <w:pStyle w:val="Body"/>
        <w:ind w:end="720"/>
        <w:rPr/>
      </w:pPr>
      <w:r>
        <w:rPr/>
      </w:r>
    </w:p>
    <w:p>
      <w:pPr>
        <w:pStyle w:val="Body"/>
        <w:ind w:end="720"/>
        <w:rPr/>
      </w:pPr>
      <w:r>
        <w:rPr/>
        <w:t xml:space="preserve">Ken Wilson, Plant Manager, and Larry Tinker, Operations Manager, discussed the current production levels and plant operations.   During February 2000, the Company tracked downtime events totaling 245.5 hours for the month.  The leading six problems accounted for 167.2 hours of total downtime.  The Company has identified “fixes” to eliminate a large portion of these problems and they have planned 2-3 days of downtime at the end of March to shut down the facility and install as many of the “fixes” as possible.  The “fixes” have a significant cost, but Mr. Wilson and Mr. Tinker believe that they will enable the plant to reach production and quality targets. </w:t>
      </w:r>
    </w:p>
    <w:p>
      <w:pPr>
        <w:pStyle w:val="Body"/>
        <w:ind w:end="720"/>
        <w:rPr/>
      </w:pPr>
      <w:r>
        <w:rPr/>
      </w:r>
    </w:p>
    <w:p>
      <w:pPr>
        <w:pStyle w:val="Body"/>
        <w:ind w:end="720"/>
        <w:rPr>
          <w:b/>
        </w:rPr>
      </w:pPr>
      <w:r>
        <w:rPr>
          <w:b/>
        </w:rPr>
        <w:t>Accounting and Financial (Kafus corporate offices)</w:t>
      </w:r>
    </w:p>
    <w:p>
      <w:pPr>
        <w:pStyle w:val="Body"/>
        <w:ind w:end="720"/>
        <w:rPr/>
      </w:pPr>
      <w:r>
        <w:rPr/>
        <w:t>Kafus has a complex corporate structure, with more than 30 subsidiary entities.  The consolidation of these subsidiaries and the accounting for some of the subsidiaries is performed in the corporate offices we visited; however, much of the accounting work is performed at the project level.</w:t>
      </w:r>
    </w:p>
    <w:p>
      <w:pPr>
        <w:pStyle w:val="Body"/>
        <w:ind w:end="720"/>
        <w:rPr/>
      </w:pPr>
      <w:r>
        <w:rPr/>
      </w:r>
    </w:p>
    <w:p>
      <w:pPr>
        <w:pStyle w:val="Body"/>
        <w:ind w:end="720"/>
        <w:rPr/>
      </w:pPr>
      <w:r>
        <w:rPr/>
        <w:t>We obtained the most recent consolidating worksheets available (as of 9/30/99), and discussed the consolidation process and the components of the G&amp;A accounts.   On a test basis, we reviewed specific transactions included in corporate development (travel expense) and consulting expense.   For numerous consulting expense selections, invoices and consulting agreements could not be produced and for corporate development, the support was primarily expense reports.</w:t>
      </w:r>
    </w:p>
    <w:p>
      <w:pPr>
        <w:pStyle w:val="Body"/>
        <w:ind w:end="720"/>
        <w:rPr/>
      </w:pPr>
      <w:r>
        <w:rPr/>
      </w:r>
    </w:p>
    <w:p>
      <w:pPr>
        <w:pStyle w:val="Body"/>
        <w:ind w:end="720"/>
        <w:rPr/>
      </w:pPr>
      <w:r>
        <w:rPr/>
        <w:t>As noted above, we identified several issues related to accounting controls.  Explanations of such issues are below:</w:t>
      </w:r>
    </w:p>
    <w:p>
      <w:pPr>
        <w:pStyle w:val="Body"/>
        <w:ind w:end="720"/>
        <w:rPr/>
      </w:pPr>
      <w:r>
        <w:rPr/>
      </w:r>
    </w:p>
    <w:p>
      <w:pPr>
        <w:pStyle w:val="Body"/>
        <w:ind w:start="0" w:end="720"/>
        <w:rPr>
          <w:i/>
          <w:i/>
        </w:rPr>
      </w:pPr>
      <w:r>
        <w:rPr>
          <w:i/>
        </w:rPr>
        <w:t>Significant personal expenses of management are paid by the Company and then recorded as a receivable.  These receivables are not collected on a regular basis, and therefore, are allowed to grow to a sizable balance.</w:t>
      </w:r>
    </w:p>
    <w:p>
      <w:pPr>
        <w:pStyle w:val="Body"/>
        <w:ind w:start="0" w:end="720"/>
        <w:rPr>
          <w:i/>
          <w:i/>
        </w:rPr>
      </w:pPr>
      <w:r>
        <w:rPr>
          <w:i/>
        </w:rPr>
      </w:r>
    </w:p>
    <w:p>
      <w:pPr>
        <w:pStyle w:val="Body"/>
        <w:ind w:start="0" w:end="720"/>
        <w:rPr/>
      </w:pPr>
      <w:r>
        <w:rPr/>
        <w:t>Example:  Kafus pays Mr. Swaisland’s entire American Express bill each month and then records the amounts he designates as personal to Due From Samarac (his personal company).  This balance was greater than $1MM Canadian dollars at the end of 1998.  It was much less at the end of 1999, because a large success fee due to Mr. Swaisland in 1999 was applied against the account.  In addition, a payment of $100,000 made in 1999 was explained to be a down payment on a piece of personal property for Mr. Swaisland.  Kafus accountants stated that Samarac has recorded this balance as a payable to Kafus.  Kafus accountants could not estimate when this receivable would be collected.</w:t>
      </w:r>
    </w:p>
    <w:p>
      <w:pPr>
        <w:pStyle w:val="Body"/>
        <w:ind w:start="0" w:end="720"/>
        <w:rPr/>
      </w:pPr>
      <w:r>
        <w:rPr/>
      </w:r>
    </w:p>
    <w:p>
      <w:pPr>
        <w:pStyle w:val="Body"/>
        <w:ind w:start="0" w:end="720"/>
        <w:rPr>
          <w:i/>
          <w:i/>
        </w:rPr>
      </w:pPr>
      <w:r>
        <w:rPr>
          <w:i/>
        </w:rPr>
        <w:t>The Company has poor cash management policies.</w:t>
      </w:r>
    </w:p>
    <w:p>
      <w:pPr>
        <w:pStyle w:val="Body"/>
        <w:ind w:end="720"/>
        <w:rPr>
          <w:i/>
          <w:i/>
        </w:rPr>
      </w:pPr>
      <w:r>
        <w:rPr>
          <w:i/>
        </w:rPr>
      </w:r>
    </w:p>
    <w:p>
      <w:pPr>
        <w:pStyle w:val="Body"/>
        <w:ind w:end="720"/>
        <w:rPr/>
      </w:pPr>
      <w:r>
        <w:rPr/>
        <w:t>Example:  One of our selections of expense reports was an advance to a consultant for services in 1999.  The documentation of the services performed was not received for five months.  However, during the interim, the same consultant was paid for other services performed. Controls would require that any expense reports turned in for reimbursement from consultants be applied to the advance account before they would be paid in cash.  Several requested receipts related to expense reports could not be produced by the company, even with more than a month’s notice.</w:t>
      </w:r>
    </w:p>
    <w:p>
      <w:pPr>
        <w:pStyle w:val="Body"/>
        <w:ind w:end="720"/>
        <w:rPr/>
      </w:pPr>
      <w:r>
        <w:rPr/>
      </w:r>
    </w:p>
    <w:p>
      <w:pPr>
        <w:pStyle w:val="Body"/>
        <w:ind w:start="0" w:end="720"/>
        <w:rPr>
          <w:i/>
          <w:i/>
        </w:rPr>
      </w:pPr>
      <w:r>
        <w:rPr>
          <w:i/>
        </w:rPr>
        <w:t>Spending on G&amp;A items and capital assets appears to be excessive for a company in the start-up phase and with no reliable revenue sources.</w:t>
      </w:r>
    </w:p>
    <w:p>
      <w:pPr>
        <w:pStyle w:val="Body"/>
        <w:ind w:end="720"/>
        <w:rPr>
          <w:i/>
          <w:i/>
        </w:rPr>
      </w:pPr>
      <w:r>
        <w:rPr>
          <w:i/>
        </w:rPr>
      </w:r>
    </w:p>
    <w:p>
      <w:pPr>
        <w:pStyle w:val="Body"/>
        <w:ind w:end="720"/>
        <w:rPr/>
      </w:pPr>
      <w:r>
        <w:rPr/>
        <w:t>Example:  The Company appears to spend a large amount of money on travel and entertainment expenses.  A hotel bill was noted of CAD20,671 for six nights at the end of 1998/beginning of 1999.  Also, the cottage, which was said to be a management retreat, has the following book values: Building CAD 727,913, Land CAD 188,550 and Furniture &amp; Fixtures CAD 164,484.  Another example of excessive cash outflow is the stock buyback program.  Kafus bought 77,900 shares into treasury stock in 1999, which is an unusual cash outflow for a start-up company.</w:t>
      </w:r>
    </w:p>
    <w:p>
      <w:pPr>
        <w:pStyle w:val="Body"/>
        <w:ind w:end="720"/>
        <w:rPr/>
      </w:pPr>
      <w:r>
        <w:rPr/>
      </w:r>
    </w:p>
    <w:p>
      <w:pPr>
        <w:pStyle w:val="Body"/>
        <w:ind w:start="0" w:end="720"/>
        <w:rPr>
          <w:i/>
          <w:i/>
        </w:rPr>
      </w:pPr>
      <w:r>
        <w:rPr>
          <w:i/>
        </w:rPr>
        <w:t>The Company does not have procedures in place to track liabilities and contingencies entered into via employment, shareholder and consultant agreements.</w:t>
      </w:r>
    </w:p>
    <w:p>
      <w:pPr>
        <w:pStyle w:val="Body"/>
        <w:ind w:end="720"/>
        <w:rPr>
          <w:i/>
          <w:i/>
        </w:rPr>
      </w:pPr>
      <w:r>
        <w:rPr>
          <w:i/>
        </w:rPr>
      </w:r>
    </w:p>
    <w:p>
      <w:pPr>
        <w:pStyle w:val="Body"/>
        <w:ind w:end="720"/>
        <w:rPr/>
      </w:pPr>
      <w:r>
        <w:rPr/>
        <w:t xml:space="preserve">Example:  During our visit, we requested a list of all management, employment and shareholder agreements and their terms so that we could review the contingent liabilities contained within.  The Company has not provided this schedule as of 3/14/2000.  It is essential that management understand the total effect of all the agreements into which they enter. </w:t>
      </w:r>
      <w:r>
        <w:br w:type="page"/>
      </w:r>
    </w:p>
    <w:p>
      <w:pPr>
        <w:pStyle w:val="Body"/>
        <w:ind w:start="0" w:end="720"/>
        <w:rPr>
          <w:i/>
          <w:i/>
        </w:rPr>
      </w:pPr>
      <w:r>
        <w:rPr>
          <w:i/>
        </w:rPr>
      </w:r>
    </w:p>
    <w:p>
      <w:pPr>
        <w:pStyle w:val="Body"/>
        <w:ind w:end="720"/>
        <w:rPr/>
      </w:pPr>
      <w:r>
        <w:rPr>
          <w:i/>
        </w:rPr>
        <w:t xml:space="preserve">Numerous cutoff issues were noted; therefore, it is difficult to determine if all of 1999 expenses have been included in the accounting records. </w:t>
      </w:r>
      <w:r>
        <w:rPr/>
        <w:t>Example:  Many instances of 1998 expenses were noted in the January 1999 G/L detail.  Therefore, we do not have comfort that the 1999 expenses are accurate.  Further, some of the 1998 audit adjustments were booked in 1999 due to the Company not knowing how to book these types of entries once the books for 1998 were closed.</w:t>
      </w:r>
    </w:p>
    <w:p>
      <w:pPr>
        <w:pStyle w:val="Body"/>
        <w:ind w:end="720"/>
        <w:rPr/>
      </w:pPr>
      <w:r>
        <w:rPr/>
      </w:r>
    </w:p>
    <w:p>
      <w:pPr>
        <w:pStyle w:val="Body"/>
        <w:ind w:end="720"/>
        <w:rPr/>
      </w:pPr>
      <w:r>
        <w:rPr/>
      </w:r>
    </w:p>
    <w:p>
      <w:pPr>
        <w:pStyle w:val="CopyList"/>
        <w:rPr/>
      </w:pPr>
      <w:r>
        <w:rPr/>
        <w:t>CC:  Rick Buy, Rick Carson, Dave Gorte, Dan Lyons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Helvetica" w:hAnsi="Arial;Helvetica" w:eastAsia="Times New Roman" w:cs="Arial;Helvetica"/>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color w:val="000000"/>
    </w:rPr>
  </w:style>
  <w:style w:type="character" w:styleId="WW8Num3z0">
    <w:name w:val="WW8Num3z0"/>
    <w:qFormat/>
    <w:rPr>
      <w:rFonts w:ascii="Symbol" w:hAnsi="Symbol" w:cs="Symbol"/>
      <w:color w:val="000000"/>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Helvetica" w:hAnsi="Arial;Helvetica" w:cs="Arial;Helvetica"/>
      <w:sz w:val="20"/>
    </w:rPr>
  </w:style>
  <w:style w:type="paragraph" w:styleId="Body">
    <w:name w:val="Body"/>
    <w:basedOn w:val="Normal"/>
    <w:qFormat/>
    <w:pPr>
      <w:tabs>
        <w:tab w:val="clear" w:pos="540"/>
      </w:tabs>
      <w:ind w:hanging="0" w:start="72" w:end="0"/>
    </w:pPr>
    <w:rPr>
      <w:rFonts w:ascii="Arial;Helvetica" w:hAnsi="Arial;Helvetica" w:cs="Arial;Helvetica"/>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2000-03-13T18:53:00Z</dcterms:created>
  <dc:creator>Jeff Ford</dc:creator>
  <dc:description/>
  <dc:language>en-CA</dc:language>
  <cp:lastModifiedBy>serwin</cp:lastModifiedBy>
  <cp:lastPrinted>2000-04-11T14:51:00Z</cp:lastPrinted>
  <dcterms:modified xsi:type="dcterms:W3CDTF">2000-04-13T19:27:00Z</dcterms:modified>
  <cp:revision>25</cp:revision>
  <dc:subject/>
  <dc:title>Eron Capital &amp; Trade Resources Memo</dc:title>
</cp:coreProperties>
</file>