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t>Publication of a Seller's forward prices/delivery obligations will lead to abusive market practices and discriminates against entities that don't own generation</w:t>
      </w:r>
    </w:p>
    <w:p>
      <w:pPr>
        <w:pStyle w:val="Normal"/>
        <w:spacing w:lineRule="auto" w:line="480"/>
        <w:jc w:val="both"/>
        <w:rPr>
          <w:u w:val="single"/>
        </w:rPr>
      </w:pPr>
      <w:r>
        <w:rPr>
          <w:u w:val="single"/>
        </w:rPr>
      </w:r>
    </w:p>
    <w:p>
      <w:pPr>
        <w:pStyle w:val="Normal"/>
        <w:spacing w:lineRule="auto" w:line="480"/>
        <w:jc w:val="both"/>
        <w:rPr/>
      </w:pPr>
      <w:r>
        <w:rPr/>
        <w:tab/>
        <w:t>Under the proposed NOPR, all jurisdictional Sellers of power will be required to report all transactions, including delivery start date, delivery and date, and delivery point, on a trade by trade basis. Based on this information, any knowledgeable market participant will be able to determine if the Seller is hedged, and if not, if the Seller is long or short.  A simple example demonstrates, the dangers of FERC's proposal.  Assume EPMI reports in its Index of Customers that it entered into a one (1) year energy sale of 1000 MW per hour to ABC Power Co. of an Into Cinergy product with a start date of January 1, 2002.  Armed with this specific information, any of EPMI's competitors could, by examining all the Index of Customers for each and every seller other than EPMI determine if EPMI was the buyer in any reported transaction for delivery Into Cinergy during the period from January 1, 2002 through December 31, 2002.  If EPMI is not reported as being a buyer on any Indexes, EPMI's competitors could reasonably expect that EPMI is short and will need to cover its obligations</w:t>
      </w:r>
      <w:r>
        <w:rPr>
          <w:rStyle w:val="FootnoteCharacters"/>
          <w:rStyle w:val="FootnoteReference"/>
        </w:rPr>
        <w:footnoteReference w:id="2"/>
      </w:r>
      <w:r>
        <w:rPr/>
        <w:t>.  And when EPMI attempts to fill its short position that is now known by the industry, guess what could happen.  Seller knows EPMI is short.  Sellers withhold energy in order to drive up prices, knowing full well that eventually EPMI must purchase energy to satisfy its now, well-known obligations</w:t>
      </w:r>
      <w:r>
        <w:rPr>
          <w:rStyle w:val="FootnoteCharacters"/>
          <w:rStyle w:val="FootnoteReference"/>
        </w:rPr>
        <w:footnoteReference w:id="3"/>
      </w:r>
      <w:r>
        <w:rPr/>
        <w:t>.  What started as a simple transaction for EPMI now turns into a nightmare; competitors, with access to full transaction discovery, will be able to artificially drive up prices.  FERC's proposed rules will have a severe chilling effect on seller's offering long-term hedging solutions.  Customers will be deprived of Seller's willing to provide long-term, stable pricing.  In order to "obscure" the impact of the proposed FERC rules, Seller's may try to circumvent the rules and/or create misleading information.  Some Seller's may "accidentally" fail to report a transaction.  Others may attempt to create multiple selling and buying affiliates in order to obfuscate their positions in the market.  The only winners will be those sophisticated marketers with dedicated research analysts working night and day, who will take this detailed information of all power Seller's in the marketplace and attempt to use such information to determine short and long positions in order to devise its own market strategy. And instead of the marketplace, i.e. willing buyers and sellers, determining market prices, such market prices will be determined by a few competitors acting on the partial information required by FERC's NOPR.</w:t>
      </w:r>
      <w:r>
        <w:br w:type="page"/>
      </w:r>
    </w:p>
    <w:p>
      <w:pPr>
        <w:pStyle w:val="BodyText"/>
        <w:jc w:val="both"/>
        <w:rPr/>
      </w:pPr>
      <w:r>
        <w:rPr/>
        <w:t>Publication of a Seller's forward prices/delivery obligations arbitrarily discriminates against long-term transactions</w:t>
      </w:r>
    </w:p>
    <w:p>
      <w:pPr>
        <w:pStyle w:val="Normal"/>
        <w:spacing w:lineRule="auto" w:line="480"/>
        <w:jc w:val="both"/>
        <w:rPr/>
      </w:pPr>
      <w:r>
        <w:rPr/>
      </w:r>
    </w:p>
    <w:p>
      <w:pPr>
        <w:pStyle w:val="Normal"/>
        <w:spacing w:lineRule="auto" w:line="480"/>
        <w:jc w:val="both"/>
        <w:rPr/>
      </w:pPr>
      <w:r>
        <w:rPr/>
        <w:tab/>
        <w:t>The timing of FERC's proposed reporting is completely arbitrary, but will absolutely determine when market activities occur.  Under the NOPR, jurisdictional entities will be required to update the Index of Customers with transaction specific information [30 days after the end of each quarter.]  In order not to be harmed by the disclosure of forward looking information, Seller's will avoid doing certain transactions at the end of the quarter other than daily, weekly or single month transactions.  For example, if EPMI does a 3 month deal at the end of the quarter, such "open" positions will be required to be disclosed on the updated Index.  On the other hand, if the 3 month transaction was made on the first day of the quarter, the transaction would be completed before any disclosure on the Index of Customers</w:t>
      </w:r>
      <w:r>
        <w:rPr>
          <w:rStyle w:val="FootnoteCharacters"/>
          <w:rStyle w:val="FootnoteReference"/>
        </w:rPr>
        <w:footnoteReference w:id="4"/>
      </w:r>
      <w:r>
        <w:rPr/>
        <w:t>.  Similarly, any deal greater than 4 months in length, will always have "open" disclosure information; as a result, sellers may or may not be willing to enter into such deals knowing that material information will be discernible by its competitors.</w:t>
      </w:r>
      <w:r>
        <w:br w:type="page"/>
      </w:r>
    </w:p>
    <w:p>
      <w:pPr>
        <w:pStyle w:val="Normal"/>
        <w:jc w:val="both"/>
        <w:rPr>
          <w:u w:val="single"/>
        </w:rPr>
      </w:pPr>
      <w:r>
        <w:rPr>
          <w:u w:val="single"/>
        </w:rPr>
        <w:t>Publication of Seller's forward prices/delivery obligations arbitrarily discriminates against Seller's and Buyer's with limited transactions</w:t>
      </w:r>
    </w:p>
    <w:p>
      <w:pPr>
        <w:pStyle w:val="BodyText"/>
        <w:spacing w:lineRule="auto" w:line="480"/>
        <w:jc w:val="both"/>
        <w:rPr>
          <w:u w:val="none"/>
        </w:rPr>
      </w:pPr>
      <w:r>
        <w:rPr>
          <w:u w:val="none"/>
        </w:rPr>
      </w:r>
    </w:p>
    <w:p>
      <w:pPr>
        <w:pStyle w:val="BodyText"/>
        <w:spacing w:lineRule="auto" w:line="480"/>
        <w:jc w:val="both"/>
        <w:rPr>
          <w:u w:val="none"/>
        </w:rPr>
      </w:pPr>
      <w:r>
        <w:rPr>
          <w:u w:val="none"/>
        </w:rPr>
        <w:tab/>
        <w:t>Analyzing all of the data proposed to be made available by FERC for entities, like EPMI, that enter into thousands of transactions each day will be complex.  While proprietary, commercially sensitive information can and will be gained, the analysis will be difficult, time consuming and possibly subject to several different interpretations.  For seller's with limited transactions the interpretations will be easy.  For example, assume there is a seller with a single generating unit who only sells the energy from the single unit.  From the Index of Customer, market participants will easily be able to derive significant commercial information:  MW's unsold forward/seller's historical hedging strategy/seller's price requirements, etc.</w:t>
      </w:r>
    </w:p>
    <w:p>
      <w:pPr>
        <w:pStyle w:val="BodyText"/>
        <w:spacing w:lineRule="auto" w:line="480"/>
        <w:jc w:val="both"/>
        <w:rPr>
          <w:u w:val="none"/>
        </w:rPr>
      </w:pPr>
      <w:r>
        <w:rPr>
          <w:u w:val="none"/>
        </w:rPr>
      </w:r>
      <w:r>
        <w:br w:type="page"/>
      </w:r>
    </w:p>
    <w:p>
      <w:pPr>
        <w:pStyle w:val="BodyText"/>
        <w:jc w:val="both"/>
        <w:rPr>
          <w:u w:val="none"/>
        </w:rPr>
      </w:pPr>
      <w:r>
        <w:rPr/>
        <w:t>Publication of a Seller's forward prices/delivery obligations arbitrarily discriminates against entities that are FERC jurisdictional and will give non-FERC jurisdictional entities a distinct competitive advantage</w:t>
      </w:r>
    </w:p>
    <w:p>
      <w:pPr>
        <w:pStyle w:val="BodyText"/>
        <w:spacing w:lineRule="auto" w:line="480"/>
        <w:jc w:val="both"/>
        <w:rPr>
          <w:u w:val="none"/>
        </w:rPr>
      </w:pPr>
      <w:r>
        <w:rPr>
          <w:u w:val="none"/>
        </w:rPr>
      </w:r>
    </w:p>
    <w:p>
      <w:pPr>
        <w:pStyle w:val="BodyText"/>
        <w:spacing w:lineRule="auto" w:line="480"/>
        <w:jc w:val="both"/>
        <w:rPr>
          <w:u w:val="none"/>
        </w:rPr>
      </w:pPr>
      <w:r>
        <w:rPr>
          <w:u w:val="none"/>
        </w:rPr>
        <w:tab/>
        <w:t>Not all sellers of power are required to publish information required by FERC.  BPA, TVA, Salt River Project, WAPA other federal power marketers, municipalities, coops, will not be required to, nor will they likely voluntarily, file transactional information.  Buyers seeking confidential information will seek out these sellers.  FERC jurisdictional Sellers, meanwhile, will be competing with and attempting to secure supply from, these sellers on an unlevel  playing field as a result of FERC's proposed disclosure requirements.</w:t>
      </w:r>
      <w:r>
        <w:br w:type="page"/>
      </w:r>
    </w:p>
    <w:p>
      <w:pPr>
        <w:pStyle w:val="BodyText"/>
        <w:jc w:val="both"/>
        <w:rPr>
          <w:u w:val="none"/>
        </w:rPr>
      </w:pPr>
      <w:r>
        <w:rPr/>
        <w:t>Publication of a Seller's forward prices/delivery obligations will have a chilling impact on transactions for delivery at a bus or other non-liquid delivery point hurting both Buyer's and Seller's</w:t>
      </w:r>
    </w:p>
    <w:p>
      <w:pPr>
        <w:pStyle w:val="BodyText"/>
        <w:spacing w:lineRule="auto" w:line="480"/>
        <w:jc w:val="both"/>
        <w:rPr>
          <w:u w:val="none"/>
        </w:rPr>
      </w:pPr>
      <w:r>
        <w:rPr>
          <w:u w:val="none"/>
        </w:rPr>
      </w:r>
    </w:p>
    <w:p>
      <w:pPr>
        <w:pStyle w:val="BodyText"/>
        <w:spacing w:lineRule="auto" w:line="480"/>
        <w:jc w:val="both"/>
        <w:rPr>
          <w:u w:val="none"/>
        </w:rPr>
      </w:pPr>
      <w:r>
        <w:rPr>
          <w:u w:val="none"/>
        </w:rPr>
        <w:tab/>
        <w:t>In general, the more similar data there is, the more difficult it will be to discern meaningful information.  For example, if EPMI reports 5,000 transactions, each quarter for a standardized Into Cinergy, on-peak product, it will require study to derive meaningful information.  No question it can and will be done, but such effort will take time, money, and industry knowledge.  On the other hand, if EPMI reports one innovative, non-standard deal for delivery at a non-liquid delivery point such as ________________, the transaction reporting will be obvious, and competitors will ________________.  Perhaps, the transaction was originally structured in order to transfer transmission risk to the buyer; the buyer will be harmed when competitors purchase the transmission in order to be the only possible subsequent buyer of the energy (e.g. the energy could only be sold to a person who owned the transmission necessary to move the energy to an alternate location).  Conversely, when the seller attempts to secure energy for delivery to buyer at the non-liquid delivery points, all other sellers will be aware of seller's plight and will attempt to secure the highest possible price.</w:t>
      </w:r>
      <w:r>
        <w:br w:type="page"/>
      </w:r>
    </w:p>
    <w:p>
      <w:pPr>
        <w:pStyle w:val="BodyText"/>
        <w:jc w:val="both"/>
        <w:rPr>
          <w:u w:val="none"/>
        </w:rPr>
      </w:pPr>
      <w:r>
        <w:rPr/>
        <w:t>Buyer's of energy will be harmed by disclosure of commercially sensitive information and may loose the ability to seek the lowest price available</w:t>
      </w:r>
    </w:p>
    <w:p>
      <w:pPr>
        <w:pStyle w:val="BodyText"/>
        <w:spacing w:lineRule="auto" w:line="480"/>
        <w:jc w:val="both"/>
        <w:rPr>
          <w:u w:val="none"/>
        </w:rPr>
      </w:pPr>
      <w:r>
        <w:rPr>
          <w:u w:val="none"/>
        </w:rPr>
      </w:r>
    </w:p>
    <w:p>
      <w:pPr>
        <w:pStyle w:val="BodyText"/>
        <w:spacing w:lineRule="auto" w:line="480"/>
        <w:jc w:val="both"/>
        <w:rPr>
          <w:u w:val="none"/>
        </w:rPr>
      </w:pPr>
      <w:r>
        <w:rPr>
          <w:u w:val="none"/>
        </w:rPr>
        <w:tab/>
        <w:t>Buyer's of energy, particularly end-use customers, will also be harmed by the disclosure of commercially sensitive information.  For example, the aluminum industry is particularly sensitive to energy prices.  If EPMI discloses that it agreed to sell power for 10 years to ABC Aluminum Co. at a fixed price, competitors of ABC Aluminum Co., will be able to derive significant information about ABC's cost of goods.  This information could be adversely used by ABC Aluminum Co.'s competitors, particularly in times of market turmoil and volatile commodity prices.  Similarly, if the agreement between EPMI and ABC Aluminum Co. contains non-standard terms, such as the ability of Buyer or Seller to interpret delivery, such information, if disclosed, would impact Buyer:  Buyer may not want its competitors to know that it bargained for lower energy prices in lieu of constant supply (thereby impacting aluminum availability).</w:t>
      </w:r>
    </w:p>
    <w:p>
      <w:pPr>
        <w:pStyle w:val="BodyText"/>
        <w:spacing w:lineRule="auto" w:line="480"/>
        <w:jc w:val="both"/>
        <w:rPr>
          <w:u w:val="none"/>
        </w:rPr>
      </w:pPr>
      <w:r>
        <w:rPr>
          <w:u w:val="none"/>
        </w:rPr>
        <w:tab/>
        <w:t>Once a Buyer's "acceptable" costs are known, Sellers will aim to only slightly beat that price: not, in fact, offer the "market" price.</w:t>
      </w:r>
      <w:r>
        <w:br w:type="page"/>
      </w:r>
    </w:p>
    <w:p>
      <w:pPr>
        <w:pStyle w:val="BodyText"/>
        <w:spacing w:lineRule="auto" w:line="480"/>
        <w:jc w:val="both"/>
        <w:rPr>
          <w:u w:val="none"/>
        </w:rPr>
      </w:pPr>
      <w:r>
        <w:rPr/>
        <w:t>Innovative/customer-driven solutions, in the power industry will be destroyed</w:t>
      </w:r>
    </w:p>
    <w:p>
      <w:pPr>
        <w:pStyle w:val="BodyText"/>
        <w:spacing w:lineRule="auto" w:line="480"/>
        <w:jc w:val="both"/>
        <w:rPr>
          <w:u w:val="none"/>
        </w:rPr>
      </w:pPr>
      <w:r>
        <w:rPr>
          <w:u w:val="none"/>
        </w:rPr>
      </w:r>
    </w:p>
    <w:p>
      <w:pPr>
        <w:pStyle w:val="BodyText"/>
        <w:spacing w:lineRule="auto" w:line="480"/>
        <w:jc w:val="both"/>
        <w:rPr>
          <w:u w:val="none"/>
        </w:rPr>
      </w:pPr>
      <w:r>
        <w:rPr>
          <w:u w:val="none"/>
        </w:rPr>
        <w:tab/>
        <w:t>Every commercial entity knows that deal structuring is proprietary.  Innovative, customer-driven solutions to energy needs takes a commitment of time, money, knowledge that is a distinguishing feature bringing tremendous, potential value to those entities willing to make the investment.  For example, EPMI may be the first to develop an energy product, the price of which is tied to temperature in a given region.  This innovative product might perfectly match the economic realities for its customer who needs lower energy prices in cold weather and can tolerate higher energy prices in hotter weather.  If EPMI were forced to disclose the precise terms of this transaction, it would loose its intellectual capital by making its available to all.  Without an ability to get a return on invested knowledge, companies will cease trying to be innovative.  Buyers will be deprived of customer driven solutions.</w:t>
      </w:r>
    </w:p>
    <w:p>
      <w:pPr>
        <w:pStyle w:val="BodyText"/>
        <w:spacing w:lineRule="auto" w:line="480"/>
        <w:jc w:val="both"/>
        <w:rPr>
          <w:u w:val="none"/>
        </w:rPr>
      </w:pPr>
      <w:r>
        <w:rPr>
          <w:u w:val="none"/>
        </w:rPr>
        <w:tab/>
        <w:t>Finally, as noted earlier, standardized deals will be the least harmed by disclosure since there is less ability to _________ the position.  It is the "one-off", customized transaction that will be destroyed.  These non-standard deals represent a heavily negotiated allocation of risks between the parties.  Once these allocated risks are known to the world, both buyers and sellers will be at risk from other market participants trying to take advantage of the allocation:  transmission may be secured; power may be withheld; customers may determine cost structure . . .</w:t>
      </w:r>
      <w:r>
        <w:br w:type="page"/>
      </w:r>
    </w:p>
    <w:p>
      <w:pPr>
        <w:pStyle w:val="BodyText"/>
        <w:spacing w:lineRule="auto" w:line="480"/>
        <w:jc w:val="both"/>
        <w:rPr>
          <w:u w:val="none"/>
        </w:rPr>
      </w:pPr>
      <w:r>
        <w:rPr/>
        <w:t>Industry participants may be able to discern each seller's forward price curve</w:t>
      </w:r>
    </w:p>
    <w:p>
      <w:pPr>
        <w:pStyle w:val="BodyText"/>
        <w:spacing w:lineRule="auto" w:line="480"/>
        <w:jc w:val="both"/>
        <w:rPr>
          <w:u w:val="none"/>
        </w:rPr>
      </w:pPr>
      <w:r>
        <w:rPr>
          <w:u w:val="none"/>
        </w:rPr>
      </w:r>
    </w:p>
    <w:p>
      <w:pPr>
        <w:pStyle w:val="BodyText"/>
        <w:spacing w:lineRule="auto" w:line="480"/>
        <w:jc w:val="both"/>
        <w:rPr>
          <w:u w:val="none"/>
        </w:rPr>
      </w:pPr>
      <w:r>
        <w:rPr>
          <w:u w:val="none"/>
        </w:rPr>
        <w:tab/>
        <w:t>By requiring the disclosure of forward looking information as opposed to the purely historical information that is now required, the proposed FERC NOPR is giving market participants more evidence of each participants price curves, not just short-term but also long-term.  A company's price curve embodies the results of massive analytical research and industry assumptions.  It is what distinguishes one companies price from another's.  It is, without saying, proprietary.  By analyzing the full range of data available over time, market participants will be able to reverse engineer the research and assumptions behind a companies offered price over time.  The availability of this knowledge will have a negative impact on the industry.  If for example, EPMI was able to forecast ABC Power Co. curves, and the buyer was negotiating with EPMI and ABC, EPMI's strategy may simply be to undercut ABC by a hair, when in reality our prices may have differed widely.  The game will shift from EPMI and ABC each offering to buyer their own best price to one in which all sellers are armed with estimated forward prices and only trying to compete through non distinguishable monetary differences, based on assumptions, made about its competitors.</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/mnt/main-storage/datasets/enron-docs/doc/Report100101.doc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is particularly true if EPMI does not own generation since EPMI must purchase (not generate) all of its power.  To the extent EPMI owned some generation in or around Cinergy, it would be less clear what EPMI's position is.</w:t>
      </w:r>
    </w:p>
    <w:p>
      <w:pPr>
        <w:pStyle w:val="FootnoteText"/>
        <w:rPr/>
      </w:pPr>
      <w:r>
        <w:rPr/>
      </w:r>
    </w:p>
  </w:footnote>
  <w:footnote w:id="3">
    <w:p>
      <w:pPr>
        <w:pStyle w:val="FootnoteText"/>
        <w:rPr/>
      </w:pPr>
      <w:r>
        <w:rPr>
          <w:rStyle w:val="FootnoteCharacters"/>
        </w:rPr>
        <w:footnoteRef/>
      </w:r>
      <w:r>
        <w:rPr/>
        <w:t xml:space="preserve"> </w:t>
      </w:r>
      <w:r>
        <w:rPr/>
        <w:t>Conversely, if EPMI is shown as a Buyer on ABC Power Co.'s Index of Customers of 1,000 MW per hour during the year 2002, but there is no corresponding entry by EPMI as being a Seller, then market participants could assume that EPMI was long power at Cinergy.  A sophisticated buyer could initially refuse EPMI's offer price, knowing full well that EPMI would be forced to dump such power at some later date.</w:t>
      </w:r>
    </w:p>
  </w:footnote>
  <w:footnote w:id="4">
    <w:p>
      <w:pPr>
        <w:pStyle w:val="FootnoteText"/>
        <w:rPr/>
      </w:pPr>
      <w:r>
        <w:rPr>
          <w:rStyle w:val="FootnoteCharacters"/>
        </w:rPr>
        <w:footnoteRef/>
      </w:r>
      <w:r>
        <w:rPr/>
        <w:t xml:space="preserve"> </w:t>
      </w:r>
      <w:r>
        <w:rPr/>
        <w:t>Indeed, from the NOPR it is unclear if the Index would need to be updated based on "execution date" of the transaction or based on "the 1</w:t>
      </w:r>
      <w:r>
        <w:rPr>
          <w:vertAlign w:val="superscript"/>
        </w:rPr>
        <w:t>st</w:t>
      </w:r>
      <w:r>
        <w:rPr/>
        <w:t xml:space="preserve"> flow date" under the transaction.  Current rules are based on the 1</w:t>
      </w:r>
      <w:r>
        <w:rPr>
          <w:vertAlign w:val="superscript"/>
        </w:rPr>
        <w:t>st</w:t>
      </w:r>
      <w:r>
        <w:rPr/>
        <w:t xml:space="preserve"> flow date.  Changing the requirement to update the Index of Customers based on execution date of a transaction would have a significantly more chilling impact.  For example, if EPMI had to disclose today that it entered into transaction for delivery in 2011, its competitors would easily be able to determine EPMI's long/short position since so few deals of this length are entered into.  Such competitors would have 10 years to engage in market manipulation with EPMI.  On the other hand, if EPMI only had to disclose the transaction on the 1</w:t>
      </w:r>
      <w:r>
        <w:rPr>
          <w:vertAlign w:val="superscript"/>
        </w:rPr>
        <w:t>st</w:t>
      </w:r>
      <w:r>
        <w:rPr/>
        <w:t xml:space="preserve"> flow date in 2011, the release of the information would be far less damaging.</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2001-10-01T11:10:00Z</dcterms:created>
  <dc:creator>protmp5</dc:creator>
  <dc:description/>
  <dc:language>en-CA</dc:language>
  <cp:lastModifiedBy>protmp5</cp:lastModifiedBy>
  <cp:lastPrinted>2001-10-01T13:05:00Z</cp:lastPrinted>
  <dcterms:modified xsi:type="dcterms:W3CDTF">2001-10-01T15:38:00Z</dcterms:modified>
  <cp:revision>16</cp:revision>
  <dc:subject/>
  <dc:title/>
</cp:coreProperties>
</file>