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360" w:leader="none"/>
        </w:tabs>
        <w:ind w:firstLine="720" w:end="360"/>
        <w:jc w:val="both"/>
        <w:rPr/>
      </w:pPr>
      <w:r>
        <w:rPr>
          <w:b/>
          <w:sz w:val="22"/>
        </w:rPr>
        <w:t>“</w:t>
      </w:r>
      <w:r>
        <w:rPr>
          <w:b/>
          <w:sz w:val="22"/>
        </w:rPr>
        <w:t>Business Day”</w:t>
      </w:r>
      <w:r>
        <w:rPr>
          <w:sz w:val="22"/>
        </w:rPr>
        <w:t xml:space="preserve"> – shall mean a calendar day on which both Parties are open for business.</w:t>
      </w:r>
    </w:p>
    <w:p>
      <w:pPr>
        <w:pStyle w:val="Justified"/>
        <w:spacing w:before="0" w:after="0"/>
        <w:rPr>
          <w:sz w:val="22"/>
        </w:rPr>
      </w:pPr>
      <w:r>
        <w:rPr>
          <w:sz w:val="22"/>
        </w:rPr>
      </w:r>
    </w:p>
    <w:p>
      <w:pPr>
        <w:pStyle w:val="Justified"/>
        <w:spacing w:before="0" w:after="0"/>
        <w:ind w:firstLine="720" w:end="0"/>
        <w:rPr>
          <w:b/>
        </w:rPr>
      </w:pPr>
      <w:r>
        <w:rPr>
          <w:b/>
        </w:rPr>
        <w:t>“</w:t>
      </w:r>
      <w:r>
        <w:rPr>
          <w:b/>
        </w:rPr>
        <w:t>Call Option”</w:t>
      </w:r>
      <w:r>
        <w:rPr/>
        <w:t xml:space="preserve"> – means that the buyer of the Call Option shall have the Option to purchase Gas from the seller of the Call Option pursuant to the terms of a Transaction.</w:t>
      </w:r>
    </w:p>
    <w:p>
      <w:pPr>
        <w:pStyle w:val="Justified"/>
        <w:spacing w:before="0" w:after="0"/>
        <w:ind w:firstLine="720" w:end="0"/>
        <w:rPr>
          <w:b/>
        </w:rPr>
      </w:pPr>
      <w:r>
        <w:rPr>
          <w:b/>
        </w:rPr>
      </w:r>
    </w:p>
    <w:p>
      <w:pPr>
        <w:pStyle w:val="Justified"/>
        <w:spacing w:before="0" w:after="0"/>
        <w:ind w:firstLine="720" w:end="0"/>
        <w:rPr/>
      </w:pPr>
      <w:r>
        <w:rPr>
          <w:b/>
        </w:rPr>
        <w:t>“</w:t>
      </w:r>
      <w:r>
        <w:rPr>
          <w:b/>
        </w:rPr>
        <w:t>Close Out Costs”</w:t>
      </w:r>
      <w:r>
        <w:rPr/>
        <w:t xml:space="preserve"> – shall mean the sum of the Cover Costs calculated for each Month (or part thereof) remaining in the term of a terminated Transaction which are incurred by a non-defaulting Party and then aggregated and set-off against amounts owed by the non-defaulting Party to the defaulting Party to determine the net of the future Cover Costs.</w:t>
        <w:tab/>
      </w:r>
    </w:p>
    <w:p>
      <w:pPr>
        <w:pStyle w:val="Normal"/>
        <w:ind w:firstLine="720" w:end="0"/>
        <w:jc w:val="both"/>
        <w:rPr>
          <w:sz w:val="22"/>
        </w:rPr>
      </w:pPr>
      <w:r>
        <w:rPr>
          <w:sz w:val="22"/>
        </w:rPr>
      </w:r>
    </w:p>
    <w:p>
      <w:pPr>
        <w:pStyle w:val="Normal"/>
        <w:jc w:val="both"/>
        <w:rPr/>
      </w:pPr>
      <w:r>
        <w:rPr>
          <w:sz w:val="22"/>
        </w:rPr>
        <w:t xml:space="preserve"> </w:t>
      </w:r>
      <w:r>
        <w:rPr>
          <w:sz w:val="22"/>
        </w:rPr>
        <w:tab/>
      </w:r>
      <w:r>
        <w:rPr>
          <w:b/>
          <w:sz w:val="22"/>
        </w:rPr>
        <w:t>“Commodity Exchange”</w:t>
      </w:r>
      <w:r>
        <w:rPr>
          <w:sz w:val="22"/>
        </w:rPr>
        <w:t xml:space="preserve"> – shall mean the New York Mercantile Exchange (“NYMEX”) or any other commodity trading exchange, which may be established in the future, or any successor, as indicated on the applicable Confirmation Notices.</w:t>
      </w:r>
    </w:p>
    <w:p>
      <w:pPr>
        <w:pStyle w:val="Justified"/>
        <w:spacing w:before="0" w:after="0"/>
        <w:rPr>
          <w:sz w:val="22"/>
        </w:rPr>
      </w:pPr>
      <w:r>
        <w:rPr>
          <w:sz w:val="22"/>
        </w:rPr>
      </w:r>
    </w:p>
    <w:p>
      <w:pPr>
        <w:pStyle w:val="Normal"/>
        <w:jc w:val="both"/>
        <w:rPr/>
      </w:pPr>
      <w:r>
        <w:rPr>
          <w:sz w:val="22"/>
        </w:rPr>
        <w:tab/>
      </w:r>
      <w:r>
        <w:rPr>
          <w:b/>
          <w:sz w:val="22"/>
        </w:rPr>
        <w:t>“Confirmation Notice”</w:t>
      </w:r>
      <w:r>
        <w:rPr>
          <w:sz w:val="22"/>
        </w:rPr>
        <w:t xml:space="preserve"> – shall mean a written notice from ENA confirming the verbal agreement entered into by the Parties with respect to a specific Transaction.</w:t>
      </w:r>
    </w:p>
    <w:p>
      <w:pPr>
        <w:pStyle w:val="Justified"/>
        <w:spacing w:before="0" w:after="0"/>
        <w:rPr>
          <w:sz w:val="22"/>
        </w:rPr>
      </w:pPr>
      <w:r>
        <w:rPr>
          <w:sz w:val="22"/>
        </w:rPr>
      </w:r>
    </w:p>
    <w:p>
      <w:pPr>
        <w:pStyle w:val="Normal"/>
        <w:jc w:val="both"/>
        <w:rPr/>
      </w:pPr>
      <w:r>
        <w:rPr>
          <w:sz w:val="22"/>
        </w:rPr>
        <w:tab/>
      </w:r>
      <w:r>
        <w:rPr>
          <w:b/>
          <w:sz w:val="22"/>
        </w:rPr>
        <w:t>“Costs”</w:t>
      </w:r>
      <w:r>
        <w:rPr>
          <w:sz w:val="22"/>
        </w:rPr>
        <w:t xml:space="preserve"> – means any brokerage fees, commissions and other transactional costs and expenses reasonably incurred by the Non-Defaulting Party either as a result of terminating any hedges or other risk management contracts and/or entering into new arrangements to replace the early terminated Transactions, and Legal Costs incurred by the Non-Defaulting Party.</w:t>
      </w:r>
    </w:p>
    <w:p>
      <w:pPr>
        <w:pStyle w:val="Justified"/>
        <w:spacing w:before="0" w:after="0"/>
        <w:rPr>
          <w:sz w:val="22"/>
        </w:rPr>
      </w:pPr>
      <w:r>
        <w:rPr>
          <w:sz w:val="22"/>
        </w:rPr>
      </w:r>
    </w:p>
    <w:p>
      <w:pPr>
        <w:pStyle w:val="Normal"/>
        <w:jc w:val="both"/>
        <w:rPr/>
      </w:pPr>
      <w:r>
        <w:rPr>
          <w:sz w:val="22"/>
        </w:rPr>
        <w:tab/>
      </w:r>
      <w:r>
        <w:rPr>
          <w:b/>
          <w:sz w:val="22"/>
        </w:rPr>
        <w:t>“Cover Costs”</w:t>
      </w:r>
      <w:r>
        <w:rPr>
          <w:sz w:val="22"/>
        </w:rPr>
        <w:t xml:space="preserve"> – shall mean the quantification of the loss, beginning at the time of breach, resulting from a Party’s failure to perform its Service Level obligation after the non-defaulting Party has exercised commercially reasonable efforts to mitigate such loss.  Such loss is determined by the provisions of Article IV.</w:t>
      </w:r>
    </w:p>
    <w:p>
      <w:pPr>
        <w:pStyle w:val="Normal"/>
        <w:jc w:val="both"/>
        <w:rPr>
          <w:sz w:val="22"/>
        </w:rPr>
      </w:pPr>
      <w:r>
        <w:rPr>
          <w:sz w:val="22"/>
        </w:rPr>
      </w:r>
    </w:p>
    <w:p>
      <w:pPr>
        <w:pStyle w:val="Normal"/>
        <w:jc w:val="both"/>
        <w:rPr/>
      </w:pPr>
      <w:r>
        <w:rPr>
          <w:sz w:val="22"/>
        </w:rPr>
        <w:tab/>
      </w:r>
      <w:r>
        <w:rPr>
          <w:b/>
          <w:sz w:val="22"/>
        </w:rPr>
        <w:t>“Cover Standard”</w:t>
      </w:r>
      <w:r>
        <w:rPr>
          <w:sz w:val="22"/>
        </w:rPr>
        <w:t xml:space="preserve"> – if applicable, shall mean the remedy available to the non-defaulting Party as described in Article 4.2.</w:t>
      </w:r>
    </w:p>
    <w:p>
      <w:pPr>
        <w:pStyle w:val="Normal"/>
        <w:jc w:val="both"/>
        <w:rPr>
          <w:sz w:val="22"/>
        </w:rPr>
      </w:pPr>
      <w:r>
        <w:rPr>
          <w:sz w:val="22"/>
        </w:rPr>
      </w:r>
    </w:p>
    <w:p>
      <w:pPr>
        <w:pStyle w:val="Normal"/>
        <w:jc w:val="both"/>
        <w:rPr/>
      </w:pPr>
      <w:r>
        <w:rPr>
          <w:sz w:val="22"/>
        </w:rPr>
        <w:tab/>
      </w:r>
      <w:r>
        <w:rPr>
          <w:b/>
          <w:sz w:val="22"/>
        </w:rPr>
        <w:t>“Day”</w:t>
      </w:r>
      <w:r>
        <w:rPr>
          <w:sz w:val="22"/>
        </w:rPr>
        <w:t xml:space="preserve"> – shall mean a period of twenty-four (24) consecutive hours coextensive with a “day” as defined by the receiving Transporter in a particular Transaction.</w:t>
      </w:r>
    </w:p>
    <w:p>
      <w:pPr>
        <w:pStyle w:val="Normal"/>
        <w:jc w:val="both"/>
        <w:rPr>
          <w:sz w:val="22"/>
        </w:rPr>
      </w:pPr>
      <w:r>
        <w:rPr>
          <w:sz w:val="22"/>
        </w:rPr>
      </w:r>
    </w:p>
    <w:p>
      <w:pPr>
        <w:pStyle w:val="Normal"/>
        <w:jc w:val="both"/>
        <w:rPr/>
      </w:pPr>
      <w:r>
        <w:rPr>
          <w:sz w:val="22"/>
        </w:rPr>
        <w:tab/>
      </w:r>
      <w:r>
        <w:rPr>
          <w:b/>
          <w:sz w:val="22"/>
        </w:rPr>
        <w:t>“Delivery Period”</w:t>
      </w:r>
      <w:r>
        <w:rPr>
          <w:sz w:val="22"/>
        </w:rPr>
        <w:t xml:space="preserve"> – shall mean the time period specified in the Confirmation Notice during which deliveries are to be made for each Transaction.</w:t>
      </w:r>
    </w:p>
    <w:p>
      <w:pPr>
        <w:pStyle w:val="Normal"/>
        <w:jc w:val="both"/>
        <w:rPr>
          <w:sz w:val="22"/>
        </w:rPr>
      </w:pPr>
      <w:r>
        <w:rPr>
          <w:sz w:val="22"/>
        </w:rPr>
      </w:r>
    </w:p>
    <w:p>
      <w:pPr>
        <w:pStyle w:val="Normal"/>
        <w:jc w:val="both"/>
        <w:rPr/>
      </w:pPr>
      <w:r>
        <w:rPr>
          <w:sz w:val="22"/>
        </w:rPr>
        <w:tab/>
      </w:r>
      <w:r>
        <w:rPr>
          <w:b/>
          <w:sz w:val="22"/>
        </w:rPr>
        <w:t>“Delivery Point”</w:t>
      </w:r>
      <w:r>
        <w:rPr>
          <w:sz w:val="22"/>
        </w:rPr>
        <w:t xml:space="preserve"> – shall mean that specific point at which the Parties have mutually agreed that Seller will deliver the Gas to Buyer and Buyer will receive the Gas from Seller, as specified for each Transaction in the Confirmation Notice.  Title to the Gas shall transfer from Seller to Buyer at the Delivery Point.</w:t>
      </w:r>
    </w:p>
    <w:p>
      <w:pPr>
        <w:pStyle w:val="Normal"/>
        <w:jc w:val="both"/>
        <w:rPr>
          <w:sz w:val="22"/>
        </w:rPr>
      </w:pPr>
      <w:r>
        <w:rPr>
          <w:sz w:val="22"/>
        </w:rPr>
      </w:r>
    </w:p>
    <w:p>
      <w:pPr>
        <w:pStyle w:val="Normal"/>
        <w:jc w:val="both"/>
        <w:rPr/>
      </w:pPr>
      <w:r>
        <w:rPr>
          <w:sz w:val="22"/>
        </w:rPr>
        <w:tab/>
        <w:t>“</w:t>
      </w:r>
      <w:r>
        <w:rPr>
          <w:b/>
          <w:sz w:val="22"/>
        </w:rPr>
        <w:t>Demand Charge</w:t>
      </w:r>
      <w:r>
        <w:rPr>
          <w:sz w:val="22"/>
        </w:rPr>
        <w:t xml:space="preserve">” – shall mean the portion of the Price, which is paid periodically irrespective of whether any quantity of Gas is delivered or received. </w:t>
      </w:r>
    </w:p>
    <w:p>
      <w:pPr>
        <w:pStyle w:val="Normal"/>
        <w:jc w:val="both"/>
        <w:rPr>
          <w:sz w:val="22"/>
        </w:rPr>
      </w:pPr>
      <w:r>
        <w:rPr>
          <w:sz w:val="22"/>
        </w:rPr>
      </w:r>
    </w:p>
    <w:p>
      <w:pPr>
        <w:pStyle w:val="Normal"/>
        <w:jc w:val="both"/>
        <w:rPr/>
      </w:pPr>
      <w:r>
        <w:rPr>
          <w:sz w:val="22"/>
        </w:rPr>
        <w:tab/>
      </w:r>
      <w:r>
        <w:rPr>
          <w:b/>
          <w:sz w:val="22"/>
        </w:rPr>
        <w:t>“Dollars”</w:t>
      </w:r>
      <w:r>
        <w:rPr>
          <w:sz w:val="22"/>
        </w:rPr>
        <w:t xml:space="preserve"> – shall mean U.S. Dollars.</w:t>
      </w:r>
    </w:p>
    <w:p>
      <w:pPr>
        <w:pStyle w:val="Normal"/>
        <w:jc w:val="both"/>
        <w:rPr>
          <w:sz w:val="22"/>
        </w:rPr>
      </w:pPr>
      <w:r>
        <w:rPr>
          <w:sz w:val="22"/>
        </w:rPr>
      </w:r>
    </w:p>
    <w:p>
      <w:pPr>
        <w:pStyle w:val="Normal"/>
        <w:jc w:val="both"/>
        <w:rPr/>
      </w:pPr>
      <w:r>
        <w:rPr>
          <w:sz w:val="22"/>
        </w:rPr>
        <w:tab/>
      </w:r>
      <w:r>
        <w:rPr>
          <w:b/>
          <w:sz w:val="22"/>
        </w:rPr>
        <w:t>“EFP”</w:t>
      </w:r>
      <w:r>
        <w:rPr>
          <w:sz w:val="22"/>
        </w:rPr>
        <w:t xml:space="preserve"> – shall mean the exchange of a futures contract for, or in connection with, physical delivery in accordance with the rules of the applicable Commodity Exchange.</w:t>
      </w:r>
    </w:p>
    <w:p>
      <w:pPr>
        <w:pStyle w:val="Normal"/>
        <w:jc w:val="both"/>
        <w:rPr>
          <w:sz w:val="22"/>
        </w:rPr>
      </w:pPr>
      <w:r>
        <w:rPr>
          <w:sz w:val="22"/>
        </w:rPr>
      </w:r>
    </w:p>
    <w:p>
      <w:pPr>
        <w:pStyle w:val="Justified"/>
        <w:spacing w:before="0" w:after="0"/>
        <w:rPr/>
      </w:pPr>
      <w:r>
        <w:rPr/>
        <w:tab/>
        <w:t xml:space="preserve"> </w:t>
      </w:r>
      <w:r>
        <w:rPr>
          <w:b/>
        </w:rPr>
        <w:t>“Force Majeure”</w:t>
      </w:r>
      <w:r>
        <w:rPr/>
        <w:t xml:space="preserve"> – shall mean a condition or event as described in Article VI.</w:t>
      </w:r>
    </w:p>
    <w:p>
      <w:pPr>
        <w:pStyle w:val="Normal"/>
        <w:rPr/>
      </w:pPr>
      <w:r>
        <w:rPr/>
      </w:r>
    </w:p>
    <w:p>
      <w:pPr>
        <w:pStyle w:val="Normal"/>
        <w:rPr/>
      </w:pPr>
      <w:r>
        <w:rPr/>
        <w:tab/>
      </w:r>
      <w:r>
        <w:rPr>
          <w:b/>
          <w:sz w:val="22"/>
        </w:rPr>
        <w:t>“Gains”</w:t>
      </w:r>
      <w:r>
        <w:rPr>
          <w:sz w:val="22"/>
        </w:rPr>
        <w:t xml:space="preserve"> – means, with respect to a Party, an amount equal to the present value of the economic benefit, if any, (exclusive of Costs) to it resulting from the termination of its obligations with respect to a Terminated Transaction, determined in a commercially reasonable manner plus any amounts owed to the</w:t>
      </w:r>
    </w:p>
    <w:sectPr>
      <w:type w:val="nextPage"/>
      <w:pgSz w:w="12240" w:h="15840"/>
      <w:pgMar w:left="1260" w:right="1620" w:gutter="0" w:header="0" w:top="63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2001-11-21T13:25:00Z</dcterms:created>
  <dc:creator>JJForbes</dc:creator>
  <dc:description/>
  <dc:language>en-CA</dc:language>
  <cp:lastModifiedBy>JJForbes</cp:lastModifiedBy>
  <dcterms:modified xsi:type="dcterms:W3CDTF">2001-11-21T13:50:00Z</dcterms:modified>
  <cp:revision>6</cp:revision>
  <dc:subject/>
  <dc:title>“Business Day” – shall mean a calendar day on which both Parties are open for business</dc:title>
</cp:coreProperties>
</file>