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G:\DMS\NY01\MUKUNAH\FINAGMTS\63236060.03</w:t>
      </w:r>
    </w:p>
    <w:p>
      <w:pPr>
        <w:pStyle w:val="Normal"/>
        <w:widowControl w:val="false"/>
        <w:suppressAutoHyphens w:val="true"/>
        <w:bidi w:val="0"/>
        <w:jc w:val="start"/>
        <w:rPr/>
      </w:pPr>
      <w:r>
        <w:rPr/>
        <w:t>and revised document: G:\DMS\NY01\MUKUNAH\FINAGMTS\63236060.04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154 change(s) in the text</w:t>
      </w:r>
    </w:p>
    <w:p>
      <w:pPr>
        <w:pStyle w:val="Normal"/>
        <w:widowControl w:val="false"/>
        <w:suppressAutoHyphens w:val="true"/>
        <w:bidi w:val="0"/>
        <w:jc w:val="start"/>
        <w:rPr/>
      </w:pPr>
      <w:r>
        <w:rPr/>
        <w:t>CompareRite found        4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spacing w:before="0" w:after="120"/>
        <w:jc w:val="center"/>
        <w:rPr>
          <w:u w:val="single"/>
        </w:rPr>
      </w:pPr>
      <w:r>
        <w:rPr>
          <w:u w:val="single"/>
        </w:rPr>
      </w:r>
    </w:p>
    <w:p>
      <w:pPr>
        <w:pStyle w:val="Normal"/>
        <w:widowControl/>
        <w:bidi w:val="0"/>
        <w:spacing w:before="0" w:after="120"/>
        <w:jc w:val="center"/>
        <w:rPr>
          <w:u w:val="single"/>
        </w:rPr>
      </w:pPr>
      <w:r>
        <w:rPr>
          <w:u w:val="single"/>
        </w:rPr>
        <w:t>REMARKETING AGREEMENT</w:t>
      </w:r>
    </w:p>
    <w:p>
      <w:pPr>
        <w:pStyle w:val="Normal"/>
        <w:widowControl/>
        <w:bidi w:val="0"/>
        <w:spacing w:before="120" w:after="120"/>
        <w:ind w:firstLine="720"/>
        <w:jc w:val="both"/>
        <w:rPr/>
      </w:pPr>
      <w:r>
        <w:rPr/>
        <w:t xml:space="preserve">REMARKETING AGREEMENT dated as of </w:t>
      </w:r>
      <w:r>
        <w:rPr>
          <w:strike/>
        </w:rPr>
        <w:t>_____</w:t>
      </w:r>
      <w:r>
        <w:rPr>
          <w:u w:val="double"/>
        </w:rPr>
        <w:t>June 1</w:t>
      </w:r>
      <w:r>
        <w:rPr/>
        <w:t>, 2000 among ENRON CORP., an Oregon corporation (the “</w:t>
      </w:r>
      <w:r>
        <w:rPr>
          <w:u w:val="single"/>
        </w:rPr>
        <w:t>Company</w:t>
      </w:r>
      <w:r>
        <w:rPr/>
        <w:t>”), and UBS WARBURG LLC (“</w:t>
      </w:r>
      <w:r>
        <w:rPr>
          <w:u w:val="single"/>
        </w:rPr>
        <w:t>UBSW</w:t>
      </w:r>
      <w:r>
        <w:rPr/>
        <w:t>”).</w:t>
      </w:r>
    </w:p>
    <w:p>
      <w:pPr>
        <w:pStyle w:val="Normal"/>
        <w:widowControl/>
        <w:bidi w:val="0"/>
        <w:spacing w:before="120" w:after="120"/>
        <w:jc w:val="center"/>
        <w:rPr>
          <w:u w:val="single"/>
        </w:rPr>
      </w:pPr>
      <w:r>
        <w:rPr>
          <w:u w:val="single"/>
        </w:rPr>
        <w:t>Preliminary Statements</w:t>
      </w:r>
    </w:p>
    <w:p>
      <w:pPr>
        <w:pStyle w:val="Normal"/>
        <w:widowControl/>
        <w:bidi w:val="0"/>
        <w:spacing w:before="0" w:after="120"/>
        <w:ind w:firstLine="720" w:start="360" w:end="360"/>
        <w:jc w:val="both"/>
        <w:rPr/>
      </w:pPr>
      <w:r>
        <w:rPr/>
        <w:t>A.</w:t>
        <w:tab/>
        <w:t xml:space="preserve">On </w:t>
      </w:r>
      <w:r>
        <w:rPr>
          <w:strike/>
        </w:rPr>
        <w:t>_____</w:t>
      </w:r>
      <w:r>
        <w:rPr>
          <w:u w:val="double"/>
        </w:rPr>
        <w:t>June    __</w:t>
      </w:r>
      <w:r>
        <w:rPr/>
        <w:t xml:space="preserve">, 2000, the Company issued and sold £_____ principal amount of its Reset Senior Notes Due </w:t>
      </w:r>
      <w:r>
        <w:rPr>
          <w:strike/>
        </w:rPr>
        <w:t>_____</w:t>
      </w:r>
      <w:r>
        <w:rPr>
          <w:u w:val="double"/>
        </w:rPr>
        <w:t>June 15, 2028</w:t>
      </w:r>
      <w:r>
        <w:rPr/>
        <w:t xml:space="preserve"> (the “</w:t>
      </w:r>
      <w:r>
        <w:rPr>
          <w:u w:val="single"/>
        </w:rPr>
        <w:t>Notes</w:t>
      </w:r>
      <w:r>
        <w:rPr/>
        <w:t>”) pursuant to the Indenture dated as of November 1, 1985 between the Company (formerly InterNorth, Inc.) and The Bank of New York (successor to Harris Trust and Savings Bank), as trustee (the “</w:t>
      </w:r>
      <w:r>
        <w:rPr>
          <w:u w:val="single"/>
        </w:rPr>
        <w:t>Indenture Trustee</w:t>
      </w:r>
      <w:r>
        <w:rPr/>
        <w:t xml:space="preserve">”), as supplemented and amended, including by the </w:t>
      </w:r>
      <w:r>
        <w:rPr>
          <w:strike/>
        </w:rPr>
        <w:t>Second</w:t>
      </w:r>
      <w:r>
        <w:rPr/>
        <w:t xml:space="preserve"> </w:t>
      </w:r>
      <w:r>
        <w:rPr>
          <w:u w:val="double"/>
        </w:rPr>
        <w:t>Fifth</w:t>
      </w:r>
      <w:r>
        <w:rPr/>
        <w:t xml:space="preserve"> Supplemental Indenture dated as of </w:t>
      </w:r>
      <w:r>
        <w:rPr>
          <w:strike/>
        </w:rPr>
        <w:t>_____</w:t>
      </w:r>
      <w:r>
        <w:rPr>
          <w:u w:val="double"/>
        </w:rPr>
        <w:t>June 1</w:t>
      </w:r>
      <w:r>
        <w:rPr/>
        <w:t>, 2000 (such Indenture, as so supplemented and amended, the “</w:t>
      </w:r>
      <w:r>
        <w:rPr>
          <w:u w:val="single"/>
        </w:rPr>
        <w:t>Indenture</w:t>
      </w:r>
      <w:r>
        <w:rPr/>
        <w:t>”);</w:t>
      </w:r>
    </w:p>
    <w:p>
      <w:pPr>
        <w:pStyle w:val="Normal"/>
        <w:widowControl/>
        <w:bidi w:val="0"/>
        <w:spacing w:before="0" w:after="120"/>
        <w:ind w:firstLine="720" w:start="360" w:end="360"/>
        <w:jc w:val="both"/>
        <w:rPr/>
      </w:pPr>
      <w:r>
        <w:rPr/>
        <w:t>B.</w:t>
        <w:tab/>
        <w:t xml:space="preserve">Pursuant to the Purchase Agreement dated </w:t>
      </w:r>
      <w:r>
        <w:rPr>
          <w:strike/>
        </w:rPr>
        <w:t>_____, 2000 among the Company, The Bank of New York, as trustee (the “Pass-Through Trustee”) of</w:t>
      </w:r>
      <w:r>
        <w:rPr/>
        <w:t xml:space="preserve"> </w:t>
      </w:r>
      <w:r>
        <w:rPr>
          <w:u w:val="double"/>
        </w:rPr>
        <w:t>June __, 2000 among (i) the Company, (ii)</w:t>
      </w:r>
      <w:r>
        <w:rPr/>
        <w:t xml:space="preserve"> the Enron Pass-Through Asset Trust 2000-1 (the “</w:t>
      </w:r>
      <w:r>
        <w:rPr>
          <w:u w:val="single"/>
        </w:rPr>
        <w:t>Trust</w:t>
      </w:r>
      <w:r>
        <w:rPr/>
        <w:t xml:space="preserve">”) formed under the Trust Agreement dated as of </w:t>
      </w:r>
      <w:r>
        <w:rPr>
          <w:strike/>
        </w:rPr>
        <w:t>_____, 2000 between the Company and the Pass-Through Trustee</w:t>
      </w:r>
      <w:r>
        <w:rPr/>
        <w:t xml:space="preserve"> </w:t>
      </w:r>
      <w:r>
        <w:rPr>
          <w:u w:val="double"/>
        </w:rPr>
        <w:t>June 1, 2000 between The Bank of New York, as trustee (the “Pass-Through Trustee”), and the Company</w:t>
      </w:r>
      <w:r>
        <w:rPr/>
        <w:t xml:space="preserve"> (the “</w:t>
      </w:r>
      <w:r>
        <w:rPr>
          <w:u w:val="single"/>
        </w:rPr>
        <w:t>Trust Agreement</w:t>
      </w:r>
      <w:r>
        <w:rPr/>
        <w:t>”)</w:t>
      </w:r>
      <w:r>
        <w:rPr>
          <w:strike/>
        </w:rPr>
        <w:t>,</w:t>
      </w:r>
      <w:r>
        <w:rPr/>
        <w:t xml:space="preserve"> and </w:t>
      </w:r>
      <w:r>
        <w:rPr>
          <w:u w:val="double"/>
        </w:rPr>
        <w:t>(iii)</w:t>
      </w:r>
      <w:r>
        <w:rPr/>
        <w:t xml:space="preserve"> UBSW, as the Initial Purchaser (the “</w:t>
      </w:r>
      <w:r>
        <w:rPr>
          <w:u w:val="single"/>
        </w:rPr>
        <w:t>Purchase Agreement</w:t>
      </w:r>
      <w:r>
        <w:rPr/>
        <w:t xml:space="preserve">”), the Trust is issuing and selling $[350,000,000] principal amount of its ___% Pass-Through Asset Trust Securities Due </w:t>
      </w:r>
      <w:r>
        <w:rPr>
          <w:strike/>
        </w:rPr>
        <w:t>_____</w:t>
      </w:r>
      <w:r>
        <w:rPr>
          <w:u w:val="double"/>
        </w:rPr>
        <w:t>June 15, 2003</w:t>
      </w:r>
      <w:r>
        <w:rPr/>
        <w:t xml:space="preserve"> (the “</w:t>
      </w:r>
      <w:r>
        <w:rPr>
          <w:u w:val="single"/>
        </w:rPr>
        <w:t>Certificates</w:t>
      </w:r>
      <w:r>
        <w:rPr/>
        <w:t>”) to the Initial Purchaser;</w:t>
      </w:r>
    </w:p>
    <w:p>
      <w:pPr>
        <w:pStyle w:val="Normal"/>
        <w:widowControl/>
        <w:bidi w:val="0"/>
        <w:spacing w:before="0" w:after="120"/>
        <w:ind w:firstLine="720" w:start="360" w:end="360"/>
        <w:jc w:val="both"/>
        <w:rPr/>
      </w:pPr>
      <w:r>
        <w:rPr/>
        <w:t>C.</w:t>
        <w:tab/>
        <w:t xml:space="preserve">As provided in the Trust Agreement, each of the Certificates represents an undivided beneficial interest in the assets of the Trust, which consist of (i) the Notes, (ii) the rights of the Trust under a confirmation dated </w:t>
      </w:r>
      <w:r>
        <w:rPr>
          <w:strike/>
        </w:rPr>
        <w:t>_____</w:t>
      </w:r>
      <w:r>
        <w:rPr>
          <w:u w:val="double"/>
        </w:rPr>
        <w:t>June __</w:t>
      </w:r>
      <w:r>
        <w:rPr/>
        <w:t>, 2000 between UBS AG, London Branch (“</w:t>
      </w:r>
      <w:r>
        <w:rPr>
          <w:u w:val="single"/>
        </w:rPr>
        <w:t>UBS London</w:t>
      </w:r>
      <w:r>
        <w:rPr/>
        <w:t xml:space="preserve">”) and the </w:t>
      </w:r>
      <w:r>
        <w:rPr>
          <w:strike/>
        </w:rPr>
        <w:t>Pass-Through Trustee</w:t>
      </w:r>
      <w:r>
        <w:rPr/>
        <w:t xml:space="preserve"> </w:t>
      </w:r>
      <w:r>
        <w:rPr>
          <w:u w:val="double"/>
        </w:rPr>
        <w:t>Trust</w:t>
      </w:r>
      <w:r>
        <w:rPr/>
        <w:t xml:space="preserve"> entered into pursuant to an ISDA Master Agreement dated as of </w:t>
      </w:r>
      <w:r>
        <w:rPr>
          <w:strike/>
        </w:rPr>
        <w:t>_____</w:t>
      </w:r>
      <w:r>
        <w:rPr>
          <w:u w:val="double"/>
        </w:rPr>
        <w:t>June 1</w:t>
      </w:r>
      <w:r>
        <w:rPr/>
        <w:t xml:space="preserve">, 2000, including the schedule attached thereto, between UBS London and the </w:t>
      </w:r>
      <w:r>
        <w:rPr>
          <w:strike/>
        </w:rPr>
        <w:t>Pass-Through Trustee</w:t>
      </w:r>
      <w:r>
        <w:rPr/>
        <w:t xml:space="preserve"> </w:t>
      </w:r>
      <w:r>
        <w:rPr>
          <w:u w:val="double"/>
        </w:rPr>
        <w:t>Trust</w:t>
      </w:r>
      <w:r>
        <w:rPr/>
        <w:t xml:space="preserve"> to which such confirmation forms a part, providing, among other things, for certain payments between UBS London and the </w:t>
      </w:r>
      <w:r>
        <w:rPr>
          <w:strike/>
        </w:rPr>
        <w:t>Pass-Through Trustee</w:t>
      </w:r>
      <w:r>
        <w:rPr/>
        <w:t xml:space="preserve"> </w:t>
      </w:r>
      <w:r>
        <w:rPr>
          <w:u w:val="double"/>
        </w:rPr>
        <w:t>Trust</w:t>
      </w:r>
      <w:r>
        <w:rPr/>
        <w:t xml:space="preserve"> of pounds sterling and United States dollars and (iii) the rights of the Trust under a confirmation dated </w:t>
      </w:r>
      <w:r>
        <w:rPr>
          <w:strike/>
        </w:rPr>
        <w:t>_____</w:t>
      </w:r>
      <w:r>
        <w:rPr>
          <w:u w:val="double"/>
        </w:rPr>
        <w:t>June __</w:t>
      </w:r>
      <w:r>
        <w:rPr/>
        <w:t>, 2000 between UBS London (the “</w:t>
      </w:r>
      <w:r>
        <w:rPr>
          <w:u w:val="single"/>
        </w:rPr>
        <w:t>Callholder</w:t>
      </w:r>
      <w:r>
        <w:rPr/>
        <w:t xml:space="preserve">”) and the </w:t>
      </w:r>
      <w:r>
        <w:rPr>
          <w:strike/>
        </w:rPr>
        <w:t>Pass-Through Trustee</w:t>
      </w:r>
      <w:r>
        <w:rPr/>
        <w:t xml:space="preserve"> </w:t>
      </w:r>
      <w:r>
        <w:rPr>
          <w:u w:val="double"/>
        </w:rPr>
        <w:t>Trust</w:t>
      </w:r>
      <w:r>
        <w:rPr/>
        <w:t xml:space="preserve"> entered into pursuant to such ISDA Master Agreement (the “</w:t>
      </w:r>
      <w:r>
        <w:rPr>
          <w:u w:val="single"/>
        </w:rPr>
        <w:t>Trust Call Option</w:t>
      </w:r>
      <w:r>
        <w:rPr/>
        <w:t xml:space="preserve">”), providing, among other things, for the grant to the Callholder of an option to purchase the Notes </w:t>
      </w:r>
      <w:r>
        <w:rPr>
          <w:u w:val="double"/>
        </w:rPr>
        <w:t>from the Trust</w:t>
      </w:r>
      <w:r>
        <w:rPr/>
        <w:t>;</w:t>
      </w:r>
    </w:p>
    <w:p>
      <w:pPr>
        <w:pStyle w:val="Normal"/>
        <w:widowControl/>
        <w:bidi w:val="0"/>
        <w:spacing w:before="0" w:after="120"/>
        <w:ind w:firstLine="720" w:start="360" w:end="360"/>
        <w:jc w:val="both"/>
        <w:rPr/>
      </w:pPr>
      <w:r>
        <w:rPr/>
        <w:t>D.</w:t>
        <w:tab/>
        <w:t>The interest rate in effect with respect to the Notes prior to the Reset Date (as defined below) (the “</w:t>
      </w:r>
      <w:r>
        <w:rPr>
          <w:u w:val="single"/>
        </w:rPr>
        <w:t>Current Rate</w:t>
      </w:r>
      <w:r>
        <w:rPr/>
        <w:t xml:space="preserve">”) shall be reset in accordance with this Agreement on </w:t>
      </w:r>
      <w:r>
        <w:rPr>
          <w:strike/>
        </w:rPr>
        <w:t>_____</w:t>
      </w:r>
      <w:r>
        <w:rPr>
          <w:u w:val="double"/>
        </w:rPr>
        <w:t>June 15, 2003</w:t>
      </w:r>
      <w:r>
        <w:rPr/>
        <w:t xml:space="preserve"> (unless such date is not a Business Day (as defined in Section 2(b) hereof), in which case on the next succeeding day that is a Business Day) (the “</w:t>
      </w:r>
      <w:r>
        <w:rPr>
          <w:u w:val="single"/>
        </w:rPr>
        <w:t>Reset Date</w:t>
      </w:r>
      <w:r>
        <w:rPr/>
        <w:t xml:space="preserve">”) to the Interest Rate to Maturity (as defined in Section </w:t>
      </w:r>
      <w:r>
        <w:rPr>
          <w:strike/>
        </w:rPr>
        <w:t>2(e)</w:t>
      </w:r>
      <w:r>
        <w:rPr/>
        <w:t xml:space="preserve"> </w:t>
      </w:r>
      <w:r>
        <w:rPr>
          <w:u w:val="double"/>
        </w:rPr>
        <w:t>2(f)</w:t>
      </w:r>
      <w:r>
        <w:rPr/>
        <w:t xml:space="preserve"> hereof) effective from and including the Reset Date to but excluding </w:t>
      </w:r>
      <w:r>
        <w:rPr>
          <w:strike/>
        </w:rPr>
        <w:t>_____</w:t>
      </w:r>
      <w:r>
        <w:rPr>
          <w:u w:val="double"/>
        </w:rPr>
        <w:t>June 15, 2028</w:t>
      </w:r>
      <w:r>
        <w:rPr/>
        <w:t xml:space="preserve"> (the “</w:t>
      </w:r>
      <w:r>
        <w:rPr>
          <w:u w:val="single"/>
        </w:rPr>
        <w:t>Stated Maturity Date</w:t>
      </w:r>
      <w:r>
        <w:rPr/>
        <w:t>”);</w:t>
      </w:r>
    </w:p>
    <w:p>
      <w:pPr>
        <w:pStyle w:val="Normal"/>
        <w:widowControl/>
        <w:bidi w:val="0"/>
        <w:spacing w:before="0" w:after="120"/>
        <w:ind w:firstLine="720" w:start="360" w:end="360"/>
        <w:jc w:val="both"/>
        <w:rPr/>
      </w:pPr>
      <w:r>
        <w:rPr/>
        <w:t>E.</w:t>
        <w:tab/>
        <w:t xml:space="preserve">As provided in and subject to the terms and conditions of the Trust Call Option, the Notes may be purchased by the Callholder from the Trust on the Reset Date; and upon such purchase, the Notes shall be remarketed and resold on the Reset Date </w:t>
      </w:r>
      <w:r>
        <w:rPr>
          <w:strike/>
        </w:rPr>
        <w:t>(the “Remarketing Date”)</w:t>
      </w:r>
      <w:r>
        <w:rPr/>
        <w:t xml:space="preserve"> at the Interest Rate to Maturity in accordance with this Agreement; and</w:t>
      </w:r>
    </w:p>
    <w:p>
      <w:pPr>
        <w:pStyle w:val="Normal"/>
        <w:widowControl/>
        <w:bidi w:val="0"/>
        <w:spacing w:before="0" w:after="120"/>
        <w:ind w:firstLine="720" w:start="360" w:end="360"/>
        <w:jc w:val="both"/>
        <w:rPr/>
      </w:pPr>
      <w:r>
        <w:rPr/>
        <w:t>F.</w:t>
        <w:tab/>
        <w:t xml:space="preserve">The Company desires to appoint UBSW </w:t>
      </w:r>
      <w:r>
        <w:rPr>
          <w:strike/>
        </w:rPr>
        <w:t>or any affiliate thereof</w:t>
      </w:r>
      <w:r>
        <w:rPr/>
        <w:t xml:space="preserve"> as its agent for the purposes of this Agreement.</w:t>
      </w:r>
    </w:p>
    <w:p>
      <w:pPr>
        <w:pStyle w:val="Normal"/>
        <w:widowControl/>
        <w:bidi w:val="0"/>
        <w:spacing w:before="0" w:after="120"/>
        <w:ind w:firstLine="720" w:start="360" w:end="360"/>
        <w:jc w:val="both"/>
        <w:rPr/>
      </w:pPr>
      <w:r>
        <w:rPr/>
      </w:r>
    </w:p>
    <w:p>
      <w:pPr>
        <w:pStyle w:val="Normal"/>
        <w:widowControl/>
        <w:bidi w:val="0"/>
        <w:spacing w:before="0" w:after="120"/>
        <w:ind w:firstLine="720"/>
        <w:jc w:val="both"/>
        <w:rPr/>
      </w:pPr>
      <w:r>
        <w:rPr/>
        <w:t>NOW, THEREFORE, the Company and UBSW agree as follows:</w:t>
      </w:r>
    </w:p>
    <w:p>
      <w:pPr>
        <w:pStyle w:val="Normal"/>
        <w:widowControl/>
        <w:bidi w:val="0"/>
        <w:spacing w:before="120" w:after="120"/>
        <w:ind w:firstLine="720"/>
        <w:jc w:val="both"/>
        <w:rPr/>
      </w:pPr>
      <w:r>
        <w:rPr/>
        <w:t>SECTION 1.</w:t>
        <w:tab/>
      </w:r>
      <w:r>
        <w:rPr>
          <w:u w:val="single"/>
        </w:rPr>
        <w:t>Appointment of Remarketing Agent</w:t>
      </w:r>
      <w:r>
        <w:rPr/>
        <w:t>. The Company hereby appoints UBSW as its agent (in such capacity, or any permitted successor thereto or assignee thereof, together with any co-Remarketing Agent as provided below, the “</w:t>
      </w:r>
      <w:r>
        <w:rPr>
          <w:u w:val="single"/>
        </w:rPr>
        <w:t>Remarketing Agent</w:t>
      </w:r>
      <w:r>
        <w:rPr/>
        <w:t xml:space="preserve">”), and UBSW hereby accepts such appointment, for the purposes of calculating the Interest Rate to Maturity, and remarketing and reselling the Notes on the </w:t>
      </w:r>
      <w:r>
        <w:rPr>
          <w:strike/>
        </w:rPr>
        <w:t>Remarketing</w:t>
      </w:r>
      <w:r>
        <w:rPr/>
        <w:t xml:space="preserve"> </w:t>
      </w:r>
      <w:r>
        <w:rPr>
          <w:u w:val="double"/>
        </w:rPr>
        <w:t>Reset</w:t>
      </w:r>
      <w:r>
        <w:rPr/>
        <w:t xml:space="preserve"> Date in accordance with the procedures and for such other purposes as are set forth in, and subject to the terms and conditions of, this Agreement; </w:t>
      </w:r>
      <w:r>
        <w:rPr>
          <w:i/>
        </w:rPr>
        <w:t xml:space="preserve">provided, however, </w:t>
      </w:r>
      <w:r>
        <w:rPr/>
        <w:t>that UBSW may, in its sole discretion without the consent of the Company, appoint any of its affiliates as co-Remarketing Agent hereunder and thereupon such affiliate, as co-Remarketing Agent, shall, without any act or instrument, become jointly vested with all the rights, immunities, duties and obligations of UBSW, as the Remarketing Agent, with like effect as if originally named as co-Remarketing Agent hereunder.</w:t>
      </w:r>
    </w:p>
    <w:p>
      <w:pPr>
        <w:pStyle w:val="Normal"/>
        <w:keepNext w:val="true"/>
        <w:keepLines/>
        <w:widowControl/>
        <w:bidi w:val="0"/>
        <w:spacing w:before="120" w:after="120"/>
        <w:ind w:firstLine="720"/>
        <w:jc w:val="both"/>
        <w:rPr/>
      </w:pPr>
      <w:r>
        <w:rPr/>
        <w:t>SECTION 2.</w:t>
        <w:tab/>
      </w:r>
      <w:r>
        <w:rPr>
          <w:u w:val="single"/>
        </w:rPr>
        <w:t>Determination of Interest Rate to Maturity and Remarketing of Notes</w:t>
      </w:r>
      <w:r>
        <w:rPr/>
        <w:t xml:space="preserve">. </w:t>
      </w:r>
    </w:p>
    <w:p>
      <w:pPr>
        <w:pStyle w:val="Normal"/>
        <w:keepNext w:val="true"/>
        <w:keepLines/>
        <w:widowControl/>
        <w:bidi w:val="0"/>
        <w:spacing w:before="0" w:after="120"/>
        <w:ind w:firstLine="720"/>
        <w:jc w:val="both"/>
        <w:rPr/>
      </w:pPr>
      <w:r>
        <w:rPr/>
        <w:t>(a)</w:t>
        <w:tab/>
        <w:t xml:space="preserve">The Current Rate shall be reset on the Reset Date to equal the Interest Rate to Maturity, which shall be effective from and including the Reset Date to but excluding the Stated Maturity Date. </w:t>
      </w:r>
    </w:p>
    <w:p>
      <w:pPr>
        <w:pStyle w:val="Normal"/>
        <w:widowControl/>
        <w:bidi w:val="0"/>
        <w:spacing w:before="0" w:after="120"/>
        <w:ind w:firstLine="720"/>
        <w:jc w:val="both"/>
        <w:rPr/>
      </w:pPr>
      <w:r>
        <w:rPr/>
        <w:t>(b)</w:t>
        <w:tab/>
        <w:t>The Company shall provide the Remarketing Agent with a list (the “</w:t>
      </w:r>
      <w:r>
        <w:rPr>
          <w:u w:val="single"/>
        </w:rPr>
        <w:t>Dealer List</w:t>
      </w:r>
      <w:r>
        <w:rPr/>
        <w:t xml:space="preserve">”), no later than the seventh Business Day prior to the Determination Date (as defined below), containing the names and addresses of up to seven </w:t>
      </w:r>
      <w:r>
        <w:rPr>
          <w:strike/>
        </w:rPr>
        <w:t>leading dealers of publicly-traded debt securities in the City of London (each, a “Dealer”), one of which shall be the Remarketing Agent or an affiliate thereof (and another of which shall be the Callholder or an affiliate thereof if the Callholder is not then an affiliate of the Remarketing Agent),</w:t>
      </w:r>
      <w:r>
        <w:rPr/>
        <w:t xml:space="preserve"> </w:t>
      </w:r>
      <w:r>
        <w:rPr>
          <w:u w:val="double"/>
        </w:rPr>
        <w:t>Dealers (as defined below)</w:t>
      </w:r>
      <w:r>
        <w:rPr/>
        <w:t xml:space="preserve"> from each of which it desires the Remarketing Agent to obtain a Bid (as defined in Section 2(c) hereof) for the purchase of the Notes on the Reset Date. As used herein, </w:t>
      </w:r>
      <w:r>
        <w:rPr>
          <w:u w:val="double"/>
        </w:rPr>
        <w:t>(i) a</w:t>
      </w:r>
      <w:r>
        <w:rPr/>
        <w:t xml:space="preserve"> “</w:t>
      </w:r>
      <w:r>
        <w:rPr>
          <w:u w:val="single"/>
        </w:rPr>
        <w:t>Business Day</w:t>
      </w:r>
      <w:r>
        <w:rPr/>
        <w:t xml:space="preserve">” means each day that is not a Saturday, Sunday or a day on which banking institutions or foreign exchange markets in New York City or London, as applicable, are authorized or obligated by law to remain closed; </w:t>
      </w:r>
      <w:r>
        <w:rPr>
          <w:strike/>
        </w:rPr>
        <w:t xml:space="preserve">and “Determination Date” means the tenth Business Day prior to the Reset Date (or such other date that may be agreed upon by the Company, </w:t>
      </w:r>
      <w:r>
        <w:rPr>
          <w:u w:val="double"/>
        </w:rPr>
        <w:t>(ii) “Dealers” means (A) four leading dealers of publicly-traded debt securities in the City of London, each of which shall be rated, or be the issuer of outstanding long-term debt securities having a rating of, at least A3 by Moody’s Investors Service, Inc. and A- by Standard &amp; Poor’s Ratings Services, a division of the McGraw-Hill Companies, Inc., and none of which shall be an affiliate of the Company, and (B)</w:t>
      </w:r>
      <w:r>
        <w:rPr/>
        <w:t xml:space="preserve"> the Remarketing Agent </w:t>
      </w:r>
      <w:r>
        <w:rPr>
          <w:u w:val="double"/>
        </w:rPr>
        <w:t>(</w:t>
      </w:r>
      <w:r>
        <w:rPr/>
        <w:t xml:space="preserve">and, if the Callholder is not then an affiliate of the Remarketing Agent, the Callholder </w:t>
      </w:r>
      <w:r>
        <w:rPr>
          <w:u w:val="double"/>
        </w:rPr>
        <w:t>or a wholly owned subsidiary thereof); and (iii) the “Determination Date” means the fifth Business Day prior to the Reset Date or such other date as may be designated (in consultation with the Company) by the Remarketing Agent and, if the Callholder is not then an affiliate of the Remarketing Agent, the Callholder.</w:t>
      </w:r>
      <w:r>
        <w:rPr>
          <w:strike/>
        </w:rPr>
        <w:t>).</w:t>
      </w:r>
    </w:p>
    <w:p>
      <w:pPr>
        <w:pStyle w:val="Normal"/>
        <w:widowControl/>
        <w:bidi w:val="0"/>
        <w:spacing w:before="0" w:after="120"/>
        <w:ind w:firstLine="720"/>
        <w:jc w:val="both"/>
        <w:rPr/>
      </w:pPr>
      <w:r>
        <w:rPr/>
        <w:t>(c)</w:t>
        <w:tab/>
        <w:t xml:space="preserve">Within one Business Day following receipt by the Remarketing Agent of the Dealer List, the Remarketing Agent shall provide to each Dealer (i) the name of the Company, (ii) </w:t>
      </w:r>
      <w:r>
        <w:rPr>
          <w:strike/>
        </w:rPr>
        <w:t>a copy of the Offering Memorandum dated _____, 2000 relating to the sale of the Notes on the original issue date thereof (the “Offering Memorandum”) or,</w:t>
      </w:r>
      <w:r>
        <w:rPr/>
        <w:t xml:space="preserve"> subject to Section 4(b) hereof, a copy of the Disclosure Document (as defined in Section 4(b) hereof) relating to the remarketing and resale of the Notes on the Reset Date, (iii) the principal amount of the Notes and a specimen thereof and the Stated Maturity Date, (iv) the method by which interest shall be calculated on the Notes (which shall include, during the period from and including the Reset Date to but excluding the Stated Maturity Date, the manner in which interest shall accrue on the principal amount of the Notes at the Interest Rate to Maturity) and the dates on which payments thereof shall be made </w:t>
      </w:r>
      <w:r>
        <w:rPr>
          <w:strike/>
        </w:rPr>
        <w:t>and (v) a</w:t>
      </w:r>
      <w:r>
        <w:rPr>
          <w:u w:val="double"/>
        </w:rPr>
        <w:t>, (v) the Primary Reference Gilt Issue (as defined in Section 2(d) hereof) and (vi) a</w:t>
      </w:r>
      <w:r>
        <w:rPr/>
        <w:t xml:space="preserve"> written request that each Dealer submit a Bid to the Remarketing Agent by 9:00 a.m. (London time) on the Determination Date (the “</w:t>
      </w:r>
      <w:r>
        <w:rPr>
          <w:u w:val="single"/>
        </w:rPr>
        <w:t>Bid Deadline</w:t>
      </w:r>
      <w:r>
        <w:rPr/>
        <w:t xml:space="preserve">”). The Remarketing Agent shall provide each Dealer with the estimated Purchase Price (as defined in Section 2(d) hereof) </w:t>
      </w:r>
      <w:r>
        <w:rPr>
          <w:u w:val="double"/>
        </w:rPr>
        <w:t>and the estimated Reference Gilt Rate (as defined in Section 2(d) hereof)</w:t>
      </w:r>
      <w:r>
        <w:rPr/>
        <w:t xml:space="preserve"> by 8:00 a.m. (London time) on the Determination Date. As used herein, </w:t>
      </w:r>
      <w:r>
        <w:rPr>
          <w:u w:val="double"/>
        </w:rPr>
        <w:t>a</w:t>
      </w:r>
      <w:r>
        <w:rPr/>
        <w:t xml:space="preserve"> “</w:t>
      </w:r>
      <w:r>
        <w:rPr>
          <w:u w:val="single"/>
        </w:rPr>
        <w:t>Bid</w:t>
      </w:r>
      <w:r>
        <w:rPr/>
        <w:t xml:space="preserve">” means an irrevocable written offer given by a Dealer for the purchase of the entire principal amount of the Notes at the Purchase Price, with such purchase settling on the Reset Date without accrued interest, and quoted by such Dealer as a </w:t>
      </w:r>
      <w:r>
        <w:rPr>
          <w:strike/>
        </w:rPr>
        <w:t>stated yield to maturity on the Notes (the “Yield to Maturity”).</w:t>
      </w:r>
      <w:r>
        <w:rPr/>
        <w:t xml:space="preserve"> </w:t>
      </w:r>
      <w:r>
        <w:rPr>
          <w:u w:val="double"/>
        </w:rPr>
        <w:t>spread (in the form of a percentage or in basis points) above the estimated Reference Gilt Rate (the “Spread”).</w:t>
      </w:r>
    </w:p>
    <w:p>
      <w:pPr>
        <w:pStyle w:val="Normal"/>
        <w:widowControl/>
        <w:bidi w:val="0"/>
        <w:spacing w:before="0" w:after="120"/>
        <w:ind w:firstLine="720"/>
        <w:jc w:val="both"/>
        <w:rPr/>
      </w:pPr>
      <w:r>
        <w:rPr/>
        <w:t>(d)</w:t>
        <w:tab/>
        <w:t>The purchase price to be paid by any Dealer for the Notes on the Reset Date (the “</w:t>
      </w:r>
      <w:r>
        <w:rPr>
          <w:u w:val="single"/>
        </w:rPr>
        <w:t>Purchase Price</w:t>
      </w:r>
      <w:r>
        <w:rPr/>
        <w:t>”) shall be equal to the sum of (i) the principal amount of the Notes and (ii) the excess (the “</w:t>
      </w:r>
      <w:r>
        <w:rPr>
          <w:u w:val="single"/>
        </w:rPr>
        <w:t>Note Premium</w:t>
      </w:r>
      <w:r>
        <w:rPr/>
        <w:t>”), if any, of (A) the sum of the present values of the remaining scheduled payments of principal of and interest on the Notes (assuming that they remained outstanding through the Stated Maturity Date and bore interest at a per annum rate of ___%) discounted (for purposes of determining such present values) to the Reset Date on a semi-annual basis (computed on the basis of a 360-day year</w:t>
      </w:r>
      <w:r>
        <w:rPr>
          <w:u w:val="double"/>
        </w:rPr>
        <w:t>, consisting</w:t>
      </w:r>
      <w:r>
        <w:rPr/>
        <w:t xml:space="preserve"> of twelve 30-day months) at a discount rate equal to the Reference Gilt Rate </w:t>
      </w:r>
      <w:r>
        <w:rPr>
          <w:strike/>
        </w:rPr>
        <w:t>(as defined below)</w:t>
      </w:r>
      <w:r>
        <w:rPr/>
        <w:t xml:space="preserve"> over (B) the principal amount of the Notes. As used herein, </w:t>
      </w:r>
      <w:r>
        <w:rPr>
          <w:u w:val="double"/>
        </w:rPr>
        <w:t>(1) the</w:t>
      </w:r>
      <w:r>
        <w:rPr/>
        <w:t xml:space="preserve"> “</w:t>
      </w:r>
      <w:r>
        <w:rPr>
          <w:u w:val="single"/>
        </w:rPr>
        <w:t>Reference Gilt Rate</w:t>
      </w:r>
      <w:r>
        <w:rPr/>
        <w:t xml:space="preserve">” means the average of the Reference Gilt Dealer Quotations (as defined below), after excluding the highest and the lowest of </w:t>
      </w:r>
      <w:r>
        <w:rPr>
          <w:strike/>
        </w:rPr>
        <w:t>such</w:t>
      </w:r>
      <w:r>
        <w:rPr/>
        <w:t xml:space="preserve"> </w:t>
      </w:r>
      <w:r>
        <w:rPr>
          <w:u w:val="double"/>
        </w:rPr>
        <w:t>the Reference Gilt Dealer Quotations (unless there shall be fewer than four and more than one</w:t>
      </w:r>
      <w:r>
        <w:rPr/>
        <w:t xml:space="preserve"> Reference Gilt Dealer Quotations, </w:t>
      </w:r>
      <w:r>
        <w:rPr>
          <w:strike/>
        </w:rPr>
        <w:t>as provided at 9</w:t>
      </w:r>
      <w:r>
        <w:rPr/>
        <w:t xml:space="preserve"> </w:t>
      </w:r>
      <w:r>
        <w:rPr>
          <w:u w:val="double"/>
        </w:rPr>
        <w:t>in which case without such exclusion, or unless there shall be one Reference Gilt Dealer Quotations, in which case the Reference Gilt Rate means such Reference Gilt Dealer Quotation), as provided at 10</w:t>
      </w:r>
      <w:r>
        <w:rPr/>
        <w:t xml:space="preserve">:00 a.m. (London time) on the Determination Date; </w:t>
      </w:r>
      <w:r>
        <w:rPr>
          <w:u w:val="double"/>
        </w:rPr>
        <w:t>(2)</w:t>
      </w:r>
      <w:r>
        <w:rPr/>
        <w:t xml:space="preserve"> “</w:t>
      </w:r>
      <w:r>
        <w:rPr>
          <w:u w:val="single"/>
        </w:rPr>
        <w:t>Reference Gilt Dealer Quotations</w:t>
      </w:r>
      <w:r>
        <w:rPr/>
        <w:t xml:space="preserve">” means </w:t>
      </w:r>
      <w:r>
        <w:rPr>
          <w:strike/>
        </w:rPr>
        <w:t>(1)</w:t>
      </w:r>
      <w:r>
        <w:rPr/>
        <w:t xml:space="preserve"> the mid-market yield to maturity (based on the consortium yield convention as per Bloomberg) </w:t>
      </w:r>
      <w:r>
        <w:rPr>
          <w:strike/>
        </w:rPr>
        <w:t>as provided</w:t>
      </w:r>
      <w:r>
        <w:rPr/>
        <w:t xml:space="preserve"> </w:t>
      </w:r>
      <w:r>
        <w:rPr>
          <w:u w:val="double"/>
        </w:rPr>
        <w:t>of the Primary Reference Gilt Issue quoted in writing</w:t>
      </w:r>
      <w:r>
        <w:rPr/>
        <w:t xml:space="preserve"> by each of the Reference Gilt Dealers (as defined below) </w:t>
      </w:r>
      <w:r>
        <w:rPr>
          <w:strike/>
        </w:rPr>
        <w:t>of the UK Gilt 6% due December __, 2028 (the “Primary Reference Gilt Issue”) quoted in writing</w:t>
      </w:r>
      <w:r>
        <w:rPr/>
        <w:t xml:space="preserve"> to the Remarketing Agent at </w:t>
      </w:r>
      <w:r>
        <w:rPr>
          <w:strike/>
        </w:rPr>
        <w:t>9</w:t>
      </w:r>
      <w:r>
        <w:rPr/>
        <w:t xml:space="preserve"> </w:t>
      </w:r>
      <w:r>
        <w:rPr>
          <w:u w:val="double"/>
        </w:rPr>
        <w:t>10</w:t>
      </w:r>
      <w:r>
        <w:rPr/>
        <w:t xml:space="preserve">:00 a.m. (London time) on the Determination Date </w:t>
      </w:r>
      <w:r>
        <w:rPr>
          <w:strike/>
        </w:rPr>
        <w:t>or (2)</w:t>
      </w:r>
      <w:r>
        <w:rPr>
          <w:u w:val="double"/>
        </w:rPr>
        <w:t>; (3) the “Primary Reference Gilt Issue” means the UK Gilt 6% due December 7, 2028 or,</w:t>
      </w:r>
      <w:r>
        <w:rPr/>
        <w:t xml:space="preserve"> if</w:t>
      </w:r>
      <w:r>
        <w:rPr>
          <w:strike/>
        </w:rPr>
        <w:t>,</w:t>
      </w:r>
      <w:r>
        <w:rPr/>
        <w:t xml:space="preserve"> in the opinion of the Remarketing Agent acting in good faith</w:t>
      </w:r>
      <w:r>
        <w:rPr>
          <w:strike/>
        </w:rPr>
        <w:t>,</w:t>
      </w:r>
      <w:r>
        <w:rPr/>
        <w:t xml:space="preserve"> a material and permanent retirement of </w:t>
      </w:r>
      <w:r>
        <w:rPr>
          <w:strike/>
        </w:rPr>
        <w:t>the Primary Reference</w:t>
      </w:r>
      <w:r>
        <w:rPr/>
        <w:t xml:space="preserve"> </w:t>
      </w:r>
      <w:r>
        <w:rPr>
          <w:u w:val="double"/>
        </w:rPr>
        <w:t>such UK</w:t>
      </w:r>
      <w:r>
        <w:rPr/>
        <w:t xml:space="preserve"> Gilt </w:t>
      </w:r>
      <w:r>
        <w:rPr>
          <w:strike/>
        </w:rPr>
        <w:t>Issue</w:t>
      </w:r>
      <w:r>
        <w:rPr/>
        <w:t xml:space="preserve"> </w:t>
      </w:r>
      <w:r>
        <w:rPr>
          <w:u w:val="double"/>
        </w:rPr>
        <w:t>issue</w:t>
      </w:r>
      <w:r>
        <w:rPr/>
        <w:t xml:space="preserve"> (including, for this purpose, a reduction in the aggregate outstanding principal amount </w:t>
      </w:r>
      <w:r>
        <w:rPr>
          <w:strike/>
        </w:rPr>
        <w:t>of the Primary Reference Gilt Issue</w:t>
      </w:r>
      <w:r>
        <w:rPr/>
        <w:t xml:space="preserve"> </w:t>
      </w:r>
      <w:r>
        <w:rPr>
          <w:u w:val="double"/>
        </w:rPr>
        <w:t>thereof</w:t>
      </w:r>
      <w:r>
        <w:rPr/>
        <w:t xml:space="preserve"> to below £ Sterling </w:t>
      </w:r>
      <w:r>
        <w:rPr>
          <w:strike/>
        </w:rPr>
        <w:t>_____) occurs</w:t>
      </w:r>
      <w:r>
        <w:rPr/>
        <w:t xml:space="preserve"> </w:t>
      </w:r>
      <w:r>
        <w:rPr>
          <w:u w:val="double"/>
        </w:rPr>
        <w:t>2,000,000,000) shall have occurred or is expected to occur</w:t>
      </w:r>
      <w:r>
        <w:rPr/>
        <w:t xml:space="preserve"> prior to the Determination Date as a result of any action, including an unconditional tender offer or debt exchange offer, promulgated by the Bank of England or any agent acting on its behalf, then a replacement </w:t>
      </w:r>
      <w:r>
        <w:rPr>
          <w:strike/>
        </w:rPr>
        <w:t>index, established</w:t>
      </w:r>
      <w:r>
        <w:rPr/>
        <w:t xml:space="preserve"> </w:t>
      </w:r>
      <w:r>
        <w:rPr>
          <w:u w:val="double"/>
        </w:rPr>
        <w:t>UK Gilt issue, which shall be designated (in consultation with the Company)</w:t>
      </w:r>
      <w:r>
        <w:rPr/>
        <w:t xml:space="preserve"> by the Remarketing Agent </w:t>
      </w:r>
      <w:r>
        <w:rPr>
          <w:strike/>
        </w:rPr>
        <w:t>(together with the Callholder</w:t>
      </w:r>
      <w:r>
        <w:rPr/>
        <w:t xml:space="preserve"> </w:t>
      </w:r>
      <w:r>
        <w:rPr>
          <w:u w:val="double"/>
        </w:rPr>
        <w:t>and,</w:t>
      </w:r>
      <w:r>
        <w:rPr/>
        <w:t xml:space="preserve"> if the Callholder is not then an affiliate of the Remarketing Agent</w:t>
      </w:r>
      <w:r>
        <w:rPr>
          <w:strike/>
        </w:rPr>
        <w:t>) acting in good faith,</w:t>
      </w:r>
      <w:r>
        <w:rPr>
          <w:u w:val="double"/>
        </w:rPr>
        <w:t>, the Callholder</w:t>
      </w:r>
      <w:r>
        <w:rPr/>
        <w:t xml:space="preserve"> at the time of such retirement </w:t>
      </w:r>
      <w:r>
        <w:rPr>
          <w:strike/>
        </w:rPr>
        <w:t>that is</w:t>
      </w:r>
      <w:r>
        <w:rPr/>
        <w:t xml:space="preserve"> </w:t>
      </w:r>
      <w:r>
        <w:rPr>
          <w:u w:val="double"/>
        </w:rPr>
        <w:t>and</w:t>
      </w:r>
      <w:r>
        <w:rPr/>
        <w:t xml:space="preserve"> comprised of another UK Gilt issue or weighted average of two or more UK Gilt issues</w:t>
      </w:r>
      <w:r>
        <w:rPr>
          <w:strike/>
        </w:rPr>
        <w:t>,</w:t>
      </w:r>
      <w:r>
        <w:rPr/>
        <w:t xml:space="preserve"> adjusted by a fixed margin as appropriate, </w:t>
      </w:r>
      <w:r>
        <w:rPr>
          <w:u w:val="double"/>
        </w:rPr>
        <w:t>shall be used by the Remarketing Agent in lieu of such UK Gilt issue,</w:t>
      </w:r>
      <w:r>
        <w:rPr/>
        <w:t xml:space="preserve"> such that the fair value of the right of the Callholder </w:t>
      </w:r>
      <w:r>
        <w:rPr>
          <w:strike/>
        </w:rPr>
        <w:t>or the Remarketing Agent, as the case may be,</w:t>
      </w:r>
      <w:r>
        <w:rPr/>
        <w:t xml:space="preserve"> to receive the Note Premium upon resale of the Notes pursuant to this Agreement is preserved; and </w:t>
      </w:r>
      <w:r>
        <w:rPr>
          <w:u w:val="double"/>
        </w:rPr>
        <w:t>(4)</w:t>
      </w:r>
      <w:r>
        <w:rPr/>
        <w:t xml:space="preserve"> “</w:t>
      </w:r>
      <w:r>
        <w:rPr>
          <w:u w:val="single"/>
        </w:rPr>
        <w:t>Reference Gilt Dealers</w:t>
      </w:r>
      <w:r>
        <w:rPr/>
        <w:t xml:space="preserve">” means up to seven dealers selected </w:t>
      </w:r>
      <w:r>
        <w:rPr>
          <w:u w:val="double"/>
        </w:rPr>
        <w:t>(in consultation with the Company)</w:t>
      </w:r>
      <w:r>
        <w:rPr/>
        <w:t xml:space="preserve"> by the Remarketing Agent </w:t>
      </w:r>
      <w:r>
        <w:rPr>
          <w:strike/>
        </w:rPr>
        <w:t>and agreed to by the Company</w:t>
      </w:r>
      <w:r>
        <w:rPr/>
        <w:t xml:space="preserve">, one of which shall be the Remarketing Agent </w:t>
      </w:r>
      <w:r>
        <w:rPr>
          <w:strike/>
        </w:rPr>
        <w:t>or an affiliate thereof</w:t>
      </w:r>
      <w:r>
        <w:rPr/>
        <w:t xml:space="preserve">(and another of which shall be the Callholder or </w:t>
      </w:r>
      <w:r>
        <w:rPr>
          <w:strike/>
        </w:rPr>
        <w:t>an affiliate</w:t>
      </w:r>
      <w:r>
        <w:rPr/>
        <w:t xml:space="preserve"> </w:t>
      </w:r>
      <w:r>
        <w:rPr>
          <w:u w:val="double"/>
        </w:rPr>
        <w:t>a wholly owned subsidiary</w:t>
      </w:r>
      <w:r>
        <w:rPr/>
        <w:t xml:space="preserve"> thereof if the Callholder is not then an affiliate of the Remarketing Agent) </w:t>
      </w:r>
      <w:r>
        <w:rPr>
          <w:u w:val="double"/>
        </w:rPr>
        <w:t>and none of which shall be an affiliate of the Company</w:t>
      </w:r>
      <w:r>
        <w:rPr/>
        <w:t>.</w:t>
      </w:r>
    </w:p>
    <w:p>
      <w:pPr>
        <w:pStyle w:val="Normal"/>
        <w:widowControl/>
        <w:bidi w:val="0"/>
        <w:spacing w:before="0" w:after="120"/>
        <w:ind w:firstLine="720"/>
        <w:jc w:val="both"/>
        <w:rPr>
          <w:strike/>
        </w:rPr>
      </w:pPr>
      <w:r>
        <w:rPr/>
        <w:t xml:space="preserve"> </w:t>
      </w:r>
      <w:r>
        <w:rPr/>
        <w:t>(e)</w:t>
        <w:tab/>
        <w:t xml:space="preserve">Promptly after the Bid Deadline </w:t>
      </w:r>
      <w:r>
        <w:rPr>
          <w:u w:val="double"/>
        </w:rPr>
        <w:t>and prior to 9:30 a.m. (London time) on the Determination Date</w:t>
      </w:r>
      <w:r>
        <w:rPr/>
        <w:t xml:space="preserve">, the Remarketing Agent shall </w:t>
      </w:r>
      <w:r>
        <w:rPr>
          <w:u w:val="double"/>
        </w:rPr>
        <w:t>(i)</w:t>
      </w:r>
      <w:r>
        <w:rPr/>
        <w:t xml:space="preserve"> provide written notice to the Company setting forth </w:t>
      </w:r>
      <w:r>
        <w:rPr>
          <w:strike/>
        </w:rPr>
        <w:t>(i) the</w:t>
      </w:r>
      <w:r>
        <w:rPr>
          <w:u w:val="double"/>
        </w:rPr>
        <w:t>(A) the</w:t>
      </w:r>
      <w:r>
        <w:rPr/>
        <w:t xml:space="preserve"> names of each of the Dealers from whom the Remarketing Agent received Bids by the Bid Deadline</w:t>
      </w:r>
      <w:r>
        <w:rPr>
          <w:strike/>
        </w:rPr>
        <w:t>, (ii) the</w:t>
      </w:r>
      <w:r>
        <w:rPr/>
        <w:t xml:space="preserve"> </w:t>
      </w:r>
      <w:r>
        <w:rPr>
          <w:u w:val="double"/>
        </w:rPr>
        <w:t>and (B) the</w:t>
      </w:r>
      <w:r>
        <w:rPr/>
        <w:t xml:space="preserve"> Bid submitted by each such Dealer and </w:t>
      </w:r>
      <w:r>
        <w:rPr>
          <w:strike/>
        </w:rPr>
        <w:t>(iii) the Purchase Price as determined pursuant to Section 2(d) hereof. The Remarketing Agent shall thereafter</w:t>
      </w:r>
      <w:r>
        <w:rPr>
          <w:u w:val="double"/>
        </w:rPr>
        <w:t>(ii)</w:t>
      </w:r>
      <w:r>
        <w:rPr/>
        <w:t xml:space="preserve"> select from all of the Bids received </w:t>
      </w:r>
      <w:r>
        <w:rPr>
          <w:strike/>
        </w:rPr>
        <w:t>(except as provided below)</w:t>
      </w:r>
      <w:r>
        <w:rPr/>
        <w:t xml:space="preserve"> </w:t>
      </w:r>
      <w:r>
        <w:rPr>
          <w:u w:val="double"/>
        </w:rPr>
        <w:t>by the Bid Deadline</w:t>
      </w:r>
      <w:r>
        <w:rPr/>
        <w:t xml:space="preserve"> the Bid quoting the lowest </w:t>
      </w:r>
      <w:r>
        <w:rPr>
          <w:strike/>
        </w:rPr>
        <w:t>Yield to Maturity (the “Selected Bid”) and calculate the per annum interest rate with respect to the Notes from and including the Reset Date to but excluding the Stated Maturity Date as equal to the rate (rounded to the nearest one-hundredth (0.01) of one percent per annum) that would amortize the Note Premium fully over the remaining term of the Notes at the Yield to Maturity indicated by the Selected Bid (the “Interest Rate to Maturity”);</w:t>
      </w:r>
      <w:r>
        <w:rPr/>
        <w:t xml:space="preserve"> </w:t>
      </w:r>
      <w:r>
        <w:rPr>
          <w:u w:val="double"/>
        </w:rPr>
        <w:t>Spread, unless any two or more of the Bids received quote Spreads that are equivalent, in which case the Company shall in its sole discretion select any of such Bids quoting equivalent Spreads,</w:t>
      </w:r>
      <w:r>
        <w:rPr/>
        <w:t xml:space="preserve"> provided</w:t>
      </w:r>
      <w:r>
        <w:rPr>
          <w:strike/>
        </w:rPr>
        <w:t>, however,</w:t>
      </w:r>
      <w:r>
        <w:rPr/>
        <w:t xml:space="preserve"> that </w:t>
      </w:r>
      <w:r>
        <w:rPr>
          <w:strike/>
        </w:rPr>
        <w:t>(A) if the Remarketing Agent has not received Bids from all of the Dealers by the Bid Deadline, the Selected Bid shall be the lowest of all Bids received by the Bid Deadline, (B)</w:t>
      </w:r>
      <w:r>
        <w:rPr/>
        <w:t xml:space="preserve"> the Remarketing Agent shall have the right to match the </w:t>
      </w:r>
      <w:r>
        <w:rPr>
          <w:u w:val="double"/>
        </w:rPr>
        <w:t>Spread quoted in any Bid received (the “Selected Spread”).</w:t>
      </w:r>
      <w:r>
        <w:rPr/>
        <w:t xml:space="preserve"> </w:t>
      </w:r>
      <w:r>
        <w:rPr>
          <w:strike/>
        </w:rPr>
        <w:t>lowest Bid submitted and (C) if any two or more of the lowest Bids submitted are equivalent, the Company shall in its sole discretion select any of such equivalent Bids (and such selected Bid shall be the Selected Bid).</w:t>
      </w:r>
    </w:p>
    <w:p>
      <w:pPr>
        <w:pStyle w:val="Normal"/>
        <w:widowControl/>
        <w:bidi w:val="0"/>
        <w:spacing w:before="0" w:after="120"/>
        <w:ind w:firstLine="720"/>
        <w:jc w:val="both"/>
        <w:rPr>
          <w:u w:val="double"/>
        </w:rPr>
      </w:pPr>
      <w:r>
        <w:rPr>
          <w:strike/>
        </w:rPr>
        <w:t>(f)</w:t>
      </w:r>
      <w:r>
        <w:rPr/>
        <w:t xml:space="preserve"> As soon as reasonably practicable </w:t>
      </w:r>
      <w:r>
        <w:rPr>
          <w:strike/>
        </w:rPr>
        <w:t>after selecting the Selected Bid and calculating the Interest Rate to Maturity and no later than 4:00 p.m</w:t>
      </w:r>
      <w:r>
        <w:rPr/>
        <w:t xml:space="preserve"> </w:t>
      </w:r>
      <w:r>
        <w:rPr>
          <w:u w:val="double"/>
        </w:rPr>
        <w:t>thereafter and prior to 10:00 a.m</w:t>
      </w:r>
      <w:r>
        <w:rPr/>
        <w:t xml:space="preserve">. (London time) on the Determination Date, the Remarketing Agent shall provide written notice </w:t>
      </w:r>
      <w:r>
        <w:rPr>
          <w:strike/>
        </w:rPr>
        <w:t>thereof to the Company,</w:t>
      </w:r>
      <w:r>
        <w:rPr/>
        <w:t xml:space="preserve"> </w:t>
      </w:r>
      <w:r>
        <w:rPr>
          <w:u w:val="double"/>
        </w:rPr>
        <w:t>of the Reference Gilt Rate to</w:t>
      </w:r>
      <w:r>
        <w:rPr/>
        <w:t xml:space="preserve"> the Dealer that submitted the Selected </w:t>
      </w:r>
      <w:r>
        <w:rPr>
          <w:strike/>
        </w:rPr>
        <w:t>Bid</w:t>
      </w:r>
      <w:r>
        <w:rPr/>
        <w:t xml:space="preserve"> </w:t>
      </w:r>
      <w:r>
        <w:rPr>
          <w:u w:val="double"/>
        </w:rPr>
        <w:t>Spread (the “Selected Dealer”).</w:t>
      </w:r>
    </w:p>
    <w:p>
      <w:pPr>
        <w:pStyle w:val="Normal"/>
        <w:widowControl/>
        <w:bidi w:val="0"/>
        <w:spacing w:before="0" w:after="120"/>
        <w:ind w:firstLine="720"/>
        <w:jc w:val="both"/>
        <w:rPr/>
      </w:pPr>
      <w:r>
        <w:rPr>
          <w:u w:val="double"/>
        </w:rPr>
        <w:t>(f)</w:t>
      </w:r>
      <w:r>
        <w:rPr/>
        <w:tab/>
      </w:r>
      <w:r>
        <w:rPr>
          <w:u w:val="double"/>
        </w:rPr>
        <w:t>As soon as reasonably practicable after 10:00 a.m. (London time) on the Determination Date, the Remarketing Agent shall (i) calculate (A) the Purchase Price as determined pursuant to Section 2(d) hereof and (B) the per annum interest rate with respect to the Notes as equal to the rate (rounded to the nearest one-hundredth (0.01) of one percent per annum) (the “Interest Rate to Maturity”) that would amortize the Note Premium fully over the term of the Notes at a rate equal to the sum of the Reference Gilt Rate and the Selected Spread and (ii) provide written notice thereof to the Company, the Selected Dealer</w:t>
      </w:r>
      <w:r>
        <w:rPr/>
        <w:t xml:space="preserve">, the Indenture Trustee and the Pass-Through Trustee. </w:t>
      </w:r>
    </w:p>
    <w:p>
      <w:pPr>
        <w:pStyle w:val="Normal"/>
        <w:widowControl/>
        <w:bidi w:val="0"/>
        <w:spacing w:before="0" w:after="120"/>
        <w:ind w:firstLine="720"/>
        <w:jc w:val="both"/>
        <w:rPr/>
      </w:pPr>
      <w:r>
        <w:rPr/>
        <w:t>(g)</w:t>
        <w:tab/>
        <w:t xml:space="preserve">The Notes shall be remarketed by the Remarketing Agent and resold on the </w:t>
      </w:r>
      <w:r>
        <w:rPr>
          <w:strike/>
        </w:rPr>
        <w:t>Remarketing</w:t>
      </w:r>
      <w:r>
        <w:rPr/>
        <w:t xml:space="preserve"> </w:t>
      </w:r>
      <w:r>
        <w:rPr>
          <w:u w:val="double"/>
        </w:rPr>
        <w:t>Reset</w:t>
      </w:r>
      <w:r>
        <w:rPr/>
        <w:t xml:space="preserve"> Date by the Callholder to the </w:t>
      </w:r>
      <w:r>
        <w:rPr>
          <w:strike/>
        </w:rPr>
        <w:t>Dealer that submitted the</w:t>
      </w:r>
      <w:r>
        <w:rPr/>
        <w:t xml:space="preserve"> Selected </w:t>
      </w:r>
      <w:r>
        <w:rPr>
          <w:strike/>
        </w:rPr>
        <w:t>Bid</w:t>
      </w:r>
      <w:r>
        <w:rPr/>
        <w:t xml:space="preserve"> </w:t>
      </w:r>
      <w:r>
        <w:rPr>
          <w:u w:val="double"/>
        </w:rPr>
        <w:t>Dealer</w:t>
      </w:r>
      <w:r>
        <w:rPr/>
        <w:t xml:space="preserve"> upon payment by </w:t>
      </w:r>
      <w:r>
        <w:rPr>
          <w:strike/>
        </w:rPr>
        <w:t>such</w:t>
      </w:r>
      <w:r>
        <w:rPr/>
        <w:t xml:space="preserve"> </w:t>
      </w:r>
      <w:r>
        <w:rPr>
          <w:u w:val="double"/>
        </w:rPr>
        <w:t>the Selected</w:t>
      </w:r>
      <w:r>
        <w:rPr/>
        <w:t xml:space="preserve"> Dealer of the Purchase Price to the Callholder in immediately available funds on the </w:t>
      </w:r>
      <w:r>
        <w:rPr>
          <w:strike/>
        </w:rPr>
        <w:t>Remarketing</w:t>
      </w:r>
      <w:r>
        <w:rPr/>
        <w:t xml:space="preserve"> </w:t>
      </w:r>
      <w:r>
        <w:rPr>
          <w:u w:val="double"/>
        </w:rPr>
        <w:t>Reset</w:t>
      </w:r>
      <w:r>
        <w:rPr/>
        <w:t xml:space="preserve"> Date. In accordance with the Trust Call Option, the Callholder shall pay the Bond Payment (as defined in the Trust Call Option) to the Trust on the Business Day prior to the </w:t>
      </w:r>
      <w:r>
        <w:rPr>
          <w:strike/>
        </w:rPr>
        <w:t>Remarketing</w:t>
      </w:r>
      <w:r>
        <w:rPr/>
        <w:t xml:space="preserve"> </w:t>
      </w:r>
      <w:r>
        <w:rPr>
          <w:u w:val="double"/>
        </w:rPr>
        <w:t>Reset</w:t>
      </w:r>
      <w:r>
        <w:rPr/>
        <w:t xml:space="preserve"> Date. </w:t>
      </w:r>
    </w:p>
    <w:p>
      <w:pPr>
        <w:pStyle w:val="Normal"/>
        <w:widowControl/>
        <w:bidi w:val="0"/>
        <w:spacing w:before="0" w:after="120"/>
        <w:ind w:firstLine="720"/>
        <w:jc w:val="both"/>
        <w:rPr/>
      </w:pPr>
      <w:r>
        <w:rPr/>
        <w:t xml:space="preserve"> </w:t>
      </w:r>
      <w:r>
        <w:rPr/>
        <w:t>(h)</w:t>
        <w:tab/>
        <w:t xml:space="preserve">The Company shall pay, or cause the Indenture Trustee to pay, accrued and unpaid interest on the Notes on the </w:t>
      </w:r>
      <w:r>
        <w:rPr>
          <w:strike/>
        </w:rPr>
        <w:t>Remarketing</w:t>
      </w:r>
      <w:r>
        <w:rPr/>
        <w:t xml:space="preserve"> </w:t>
      </w:r>
      <w:r>
        <w:rPr>
          <w:u w:val="double"/>
        </w:rPr>
        <w:t>Reset</w:t>
      </w:r>
      <w:r>
        <w:rPr/>
        <w:t xml:space="preserve"> Date in accordance with the Indenture. </w:t>
      </w:r>
    </w:p>
    <w:p>
      <w:pPr>
        <w:pStyle w:val="Normal"/>
        <w:widowControl/>
        <w:bidi w:val="0"/>
        <w:spacing w:before="120" w:after="120"/>
        <w:ind w:firstLine="720"/>
        <w:jc w:val="both"/>
        <w:rPr/>
      </w:pPr>
      <w:r>
        <w:rPr/>
        <w:t>SECTION 3.</w:t>
        <w:tab/>
      </w:r>
      <w:r>
        <w:rPr>
          <w:u w:val="single"/>
        </w:rPr>
        <w:t>Conditions Precedent</w:t>
      </w:r>
      <w:r>
        <w:rPr/>
        <w:t xml:space="preserve">. </w:t>
      </w:r>
      <w:r>
        <w:rPr>
          <w:strike/>
        </w:rPr>
        <w:t>The</w:t>
      </w:r>
      <w:r>
        <w:rPr/>
        <w:t xml:space="preserve"> </w:t>
      </w:r>
      <w:r>
        <w:rPr>
          <w:u w:val="double"/>
        </w:rPr>
        <w:t>Notwithstanding anything to the contrary contained herein, the</w:t>
      </w:r>
      <w:r>
        <w:rPr/>
        <w:t xml:space="preserve"> obligations of the Company, the Remarketing Agent and the Callholder hereunder, including the resetting of the Current Rate, shall be subject to the condition that the Pass-Through Trustee shall have received</w:t>
      </w:r>
      <w:r>
        <w:rPr>
          <w:u w:val="double"/>
        </w:rPr>
        <w:t>, on behalf of the Trust,</w:t>
      </w:r>
      <w:r>
        <w:rPr/>
        <w:t xml:space="preserve"> a copy of a written notice from the Callholder (the “</w:t>
      </w:r>
      <w:r>
        <w:rPr>
          <w:u w:val="single"/>
        </w:rPr>
        <w:t>Call Notice</w:t>
      </w:r>
      <w:r>
        <w:rPr/>
        <w:t xml:space="preserve">”), on or prior to the Exercise Date (as defined in the Trust Call Option), of the intention of the Callholder to exercise its right to purchase the Notes under the Trust Call Option. </w:t>
      </w:r>
    </w:p>
    <w:p>
      <w:pPr>
        <w:pStyle w:val="Normal"/>
        <w:widowControl/>
        <w:bidi w:val="0"/>
        <w:spacing w:before="120" w:after="120"/>
        <w:ind w:firstLine="720"/>
        <w:jc w:val="both"/>
        <w:rPr/>
      </w:pPr>
      <w:r>
        <w:rPr/>
        <w:t>SECTION 4.</w:t>
        <w:tab/>
      </w:r>
      <w:r>
        <w:rPr>
          <w:u w:val="single"/>
        </w:rPr>
        <w:t>Representations, Warranties and Covenants of the Company</w:t>
      </w:r>
      <w:r>
        <w:rPr/>
        <w:t xml:space="preserve">. </w:t>
      </w:r>
      <w:r>
        <w:rPr>
          <w:strike/>
        </w:rPr>
        <w:t xml:space="preserve"> The Company represents and warrants to, and covenants with, the Remarketing Agent as follows:</w:t>
      </w:r>
    </w:p>
    <w:p>
      <w:pPr>
        <w:pStyle w:val="Normal"/>
        <w:widowControl/>
        <w:bidi w:val="0"/>
        <w:spacing w:before="0" w:after="120"/>
        <w:ind w:firstLine="720"/>
        <w:jc w:val="both"/>
        <w:rPr/>
      </w:pPr>
      <w:r>
        <w:rPr/>
        <w:t>(a)</w:t>
        <w:tab/>
        <w:t xml:space="preserve">The Company shall be deemed to represent and warrant that, </w:t>
      </w:r>
      <w:r>
        <w:rPr>
          <w:strike/>
        </w:rPr>
        <w:t>on the date of the giving of the Call Notice,</w:t>
      </w:r>
      <w:r>
        <w:rPr/>
        <w:t xml:space="preserve"> on the Determination Date and on the </w:t>
      </w:r>
      <w:r>
        <w:rPr>
          <w:strike/>
        </w:rPr>
        <w:t>Remarketing</w:t>
      </w:r>
      <w:r>
        <w:rPr/>
        <w:t xml:space="preserve"> </w:t>
      </w:r>
      <w:r>
        <w:rPr>
          <w:u w:val="double"/>
        </w:rPr>
        <w:t>Reset</w:t>
      </w:r>
      <w:r>
        <w:rPr/>
        <w:t xml:space="preserve"> Date (each such date a “Representation Date”), each of the representations and warranties of the Company contained in Section 1 of the Purchase Agreement is true and correct </w:t>
      </w:r>
      <w:r>
        <w:rPr>
          <w:u w:val="double"/>
        </w:rPr>
        <w:t>in all material respects</w:t>
      </w:r>
      <w:r>
        <w:rPr/>
        <w:t xml:space="preserve"> at such Representation Date (except (i) to the extent that such representations and warranties relate to the Trust, the Certificates, or the </w:t>
      </w:r>
      <w:r>
        <w:rPr>
          <w:strike/>
        </w:rPr>
        <w:t>Contingent</w:t>
      </w:r>
      <w:r>
        <w:rPr/>
        <w:t xml:space="preserve"> </w:t>
      </w:r>
      <w:r>
        <w:rPr>
          <w:u w:val="double"/>
        </w:rPr>
        <w:t>Company</w:t>
      </w:r>
      <w:r>
        <w:rPr/>
        <w:t xml:space="preserve"> Call Option (as defined in Section 9(a)(ii) hereof) and (ii) that such representations and warranties shall be deemed to relate to the Disclosure Document and not the Offering Circular (as defined </w:t>
      </w:r>
      <w:r>
        <w:rPr>
          <w:strike/>
        </w:rPr>
        <w:t>therein))</w:t>
      </w:r>
      <w:r>
        <w:rPr/>
        <w:t xml:space="preserve"> </w:t>
      </w:r>
      <w:r>
        <w:rPr>
          <w:u w:val="double"/>
        </w:rPr>
        <w:t>in the Purchase Agreement))</w:t>
      </w:r>
      <w:r>
        <w:rPr/>
        <w:t>.</w:t>
      </w:r>
    </w:p>
    <w:p>
      <w:pPr>
        <w:pStyle w:val="Normal"/>
        <w:widowControl/>
        <w:bidi w:val="0"/>
        <w:spacing w:before="0" w:after="120"/>
        <w:ind w:firstLine="720"/>
        <w:jc w:val="both"/>
        <w:rPr/>
      </w:pPr>
      <w:r>
        <w:rPr/>
        <w:t>(b)</w:t>
        <w:tab/>
        <w:t xml:space="preserve">If the Remarketing Agent </w:t>
      </w:r>
      <w:r>
        <w:rPr>
          <w:u w:val="double"/>
        </w:rPr>
        <w:t>reasonably</w:t>
      </w:r>
      <w:r>
        <w:rPr/>
        <w:t xml:space="preserve"> determines that it is desirable to use a disclosure document relating to the remarketing and resale of the Notes on the </w:t>
      </w:r>
      <w:r>
        <w:rPr>
          <w:strike/>
        </w:rPr>
        <w:t>Remarketing</w:t>
      </w:r>
      <w:r>
        <w:rPr/>
        <w:t xml:space="preserve"> </w:t>
      </w:r>
      <w:r>
        <w:rPr>
          <w:u w:val="double"/>
        </w:rPr>
        <w:t>Reset</w:t>
      </w:r>
      <w:r>
        <w:rPr/>
        <w:t xml:space="preserve"> Date (as from time to time amended or supplemented, and including any documents incorporated by reference therein, the “</w:t>
      </w:r>
      <w:r>
        <w:rPr>
          <w:u w:val="single"/>
        </w:rPr>
        <w:t>Disclosure Document</w:t>
      </w:r>
      <w:r>
        <w:rPr/>
        <w:t xml:space="preserve">”), or if counsel to the Remarketing Agent or to the Company determines that the Disclosure Document is required in connection with the remarketing and resale of the Notes, the Company (in consultation with the Remarketing Agent) shall, at the Company’s sole expense, (i) no later than the tenth Business Day prior to the Determination Date, prepare a Disclosure Document that is reasonably satisfactory in form and substance to the Remarketing Agent and provide the Remarketing Agent with such number of copies of the Disclosure Document as the Remarketing Agent reasonably requests from time to time; (ii) </w:t>
      </w:r>
      <w:r>
        <w:rPr>
          <w:strike/>
        </w:rPr>
        <w:t>effectuate the registration of</w:t>
      </w:r>
      <w:r>
        <w:rPr/>
        <w:t xml:space="preserve"> </w:t>
      </w:r>
      <w:r>
        <w:rPr>
          <w:u w:val="double"/>
        </w:rPr>
        <w:t>use reasonable commercial efforts to register</w:t>
      </w:r>
      <w:r>
        <w:rPr/>
        <w:t xml:space="preserve"> the Notes under the Securities Act of 1933, as amended (the “</w:t>
      </w:r>
      <w:r>
        <w:rPr>
          <w:u w:val="single"/>
        </w:rPr>
        <w:t>Securities Act</w:t>
      </w:r>
      <w:r>
        <w:rPr/>
        <w:t xml:space="preserve">”), or such other securities laws and regulations as may then be applicable thereto, if in the reasonable opinion of the Remarketing Agent or the Company </w:t>
      </w:r>
      <w:r>
        <w:rPr>
          <w:strike/>
        </w:rPr>
        <w:t>it is necessary to do so</w:t>
      </w:r>
      <w:r>
        <w:rPr/>
        <w:t xml:space="preserve"> </w:t>
      </w:r>
      <w:r>
        <w:rPr>
          <w:u w:val="double"/>
        </w:rPr>
        <w:t>such registration would be required in connection with such remarketing or resale</w:t>
      </w:r>
      <w:r>
        <w:rPr/>
        <w:t xml:space="preserve">; (iii) amend or supplement the Disclosure Document so that at all times it will not contain any untrue statement of a material fact or omit to state a material fact necessary in order to make the statements made in the Disclosure Document, in the light of the circumstances under which they were made, not misleading; and (iv) furnish to the Remarketing Agent on </w:t>
      </w:r>
      <w:r>
        <w:rPr>
          <w:strike/>
        </w:rPr>
        <w:t>each such Remarketing</w:t>
      </w:r>
      <w:r>
        <w:rPr/>
        <w:t xml:space="preserve"> </w:t>
      </w:r>
      <w:r>
        <w:rPr>
          <w:u w:val="double"/>
        </w:rPr>
        <w:t>the Reset</w:t>
      </w:r>
      <w:r>
        <w:rPr/>
        <w:t xml:space="preserve"> Date (A) </w:t>
      </w:r>
      <w:r>
        <w:rPr>
          <w:strike/>
        </w:rPr>
        <w:t>an</w:t>
      </w:r>
      <w:r>
        <w:rPr/>
        <w:t xml:space="preserve"> </w:t>
      </w:r>
      <w:r>
        <w:rPr>
          <w:u w:val="double"/>
        </w:rPr>
        <w:t>a customary</w:t>
      </w:r>
      <w:r>
        <w:rPr/>
        <w:t xml:space="preserve"> officer’s certificate of the Company, (B) a </w:t>
      </w:r>
      <w:r>
        <w:rPr>
          <w:u w:val="double"/>
        </w:rPr>
        <w:t>customary</w:t>
      </w:r>
      <w:r>
        <w:rPr/>
        <w:t xml:space="preserve"> legal opinion of counsel for the Company (including </w:t>
      </w:r>
      <w:r>
        <w:rPr>
          <w:strike/>
        </w:rPr>
        <w:t xml:space="preserve">statements as to the absence of material misstatements in or omissions from the Disclosure Document) and (C) a </w:t>
      </w:r>
      <w:r>
        <w:rPr>
          <w:u w:val="double"/>
        </w:rPr>
        <w:t>a statement by such counsel that, during its participation in the preparation of the Disclosure Document, nothing came to such counsel’s attention that would cause it to believe that the Disclosure Document contained any untrue statement of a material fact or omitted to state a material fact necessary in order to make the statements made in the Disclosure Document, in the light of the circumstances under which they were made, not misleading) and (C) a customary</w:t>
      </w:r>
      <w:r>
        <w:rPr/>
        <w:t xml:space="preserve"> “comfort letter” from the independent accountants of the Company, in each case in form and substance reasonably satisfactory to the Remarketing Agent. </w:t>
      </w:r>
    </w:p>
    <w:p>
      <w:pPr>
        <w:pStyle w:val="Normal"/>
        <w:widowControl/>
        <w:bidi w:val="0"/>
        <w:spacing w:before="0" w:after="120"/>
        <w:ind w:firstLine="720"/>
        <w:jc w:val="both"/>
        <w:rPr/>
      </w:pPr>
      <w:r>
        <w:rPr/>
        <w:t>(c)</w:t>
        <w:tab/>
        <w:t>If the Remarketing Agent determines that, in connection with the remarketing of the Notes, it is desirable or necessary (i) to list the Notes on the Luxembourg Stock Exchange</w:t>
      </w:r>
      <w:r>
        <w:rPr>
          <w:strike/>
        </w:rPr>
        <w:t>, or on any other</w:t>
      </w:r>
      <w:r>
        <w:rPr/>
        <w:t xml:space="preserve"> </w:t>
      </w:r>
      <w:r>
        <w:rPr>
          <w:u w:val="double"/>
        </w:rPr>
        <w:t>or the London Stock Exchange, or any national</w:t>
      </w:r>
      <w:r>
        <w:rPr/>
        <w:t xml:space="preserve"> securities exchange that in the reasonable judgment of the Remarketing Agent would facilitate the resale of the Notes or dealing in the Notes in the secondary market, the Company shall, no later than the tenth Business Day prior to the Determination Date, provide to any such exchange a copy of the Disclosure Document, </w:t>
      </w:r>
      <w:r>
        <w:rPr>
          <w:strike/>
        </w:rPr>
        <w:t>the Offering Memorandum, as supplemented or amended, or</w:t>
      </w:r>
      <w:r>
        <w:rPr/>
        <w:t xml:space="preserve"> </w:t>
      </w:r>
      <w:r>
        <w:rPr>
          <w:u w:val="double"/>
        </w:rPr>
        <w:t>or any</w:t>
      </w:r>
      <w:r>
        <w:rPr/>
        <w:t xml:space="preserve"> similar documents required by such exchange for purposes of such listing</w:t>
      </w:r>
      <w:r>
        <w:rPr>
          <w:u w:val="double"/>
        </w:rPr>
        <w:t>,</w:t>
      </w:r>
      <w:r>
        <w:rPr/>
        <w:t xml:space="preserve"> and shall </w:t>
      </w:r>
      <w:r>
        <w:rPr>
          <w:u w:val="double"/>
        </w:rPr>
        <w:t>use reasonable commercial efforts to</w:t>
      </w:r>
      <w:r>
        <w:rPr/>
        <w:t xml:space="preserve"> take, or cause to be taken, all actions necessary or advisable to effect such listing prior to the </w:t>
      </w:r>
      <w:r>
        <w:rPr>
          <w:strike/>
        </w:rPr>
        <w:t>Remarketing</w:t>
      </w:r>
      <w:r>
        <w:rPr/>
        <w:t xml:space="preserve"> </w:t>
      </w:r>
      <w:r>
        <w:rPr>
          <w:u w:val="double"/>
        </w:rPr>
        <w:t>Reset</w:t>
      </w:r>
      <w:r>
        <w:rPr/>
        <w:t xml:space="preserve"> Date or (ii) that the Notes be </w:t>
      </w:r>
      <w:r>
        <w:rPr>
          <w:u w:val="double"/>
        </w:rPr>
        <w:t>[</w:t>
      </w:r>
      <w:r>
        <w:rPr/>
        <w:t>issued in bearer form or</w:t>
      </w:r>
      <w:r>
        <w:rPr>
          <w:u w:val="double"/>
        </w:rPr>
        <w:t>]</w:t>
      </w:r>
      <w:r>
        <w:rPr/>
        <w:t xml:space="preserve"> eligible for deposit with, or on behalf of, The Depository Trust Company, The Euroclear System, or Clearstream Banking, société anonyme, for purposes of inclusion in their respective book-entry trading and settlement systems, the Company shall </w:t>
      </w:r>
      <w:r>
        <w:rPr>
          <w:u w:val="double"/>
        </w:rPr>
        <w:t>use reasonable commercial efforts to</w:t>
      </w:r>
      <w:r>
        <w:rPr/>
        <w:t xml:space="preserve"> take, or cause to be taken, all actions </w:t>
      </w:r>
      <w:r>
        <w:rPr>
          <w:u w:val="double"/>
        </w:rPr>
        <w:t>reasonably</w:t>
      </w:r>
      <w:r>
        <w:rPr/>
        <w:t xml:space="preserve"> necessary </w:t>
      </w:r>
      <w:r>
        <w:rPr>
          <w:strike/>
        </w:rPr>
        <w:t>or advisable</w:t>
      </w:r>
      <w:r>
        <w:rPr/>
        <w:t xml:space="preserve"> to effect such </w:t>
      </w:r>
      <w:r>
        <w:rPr>
          <w:u w:val="double"/>
        </w:rPr>
        <w:t>[</w:t>
      </w:r>
      <w:r>
        <w:rPr/>
        <w:t>issuance in bearer form or</w:t>
      </w:r>
      <w:r>
        <w:rPr>
          <w:u w:val="double"/>
        </w:rPr>
        <w:t>]</w:t>
      </w:r>
      <w:r>
        <w:rPr/>
        <w:t xml:space="preserve"> eligibility and inclusion</w:t>
      </w:r>
      <w:r>
        <w:rPr>
          <w:u w:val="double"/>
        </w:rPr>
        <w:t>[</w:t>
      </w:r>
      <w:r>
        <w:rPr/>
        <w:t>, as the case may be,</w:t>
      </w:r>
      <w:r>
        <w:rPr>
          <w:u w:val="double"/>
        </w:rPr>
        <w:t>]</w:t>
      </w:r>
      <w:r>
        <w:rPr/>
        <w:t xml:space="preserve"> prior to the </w:t>
      </w:r>
      <w:r>
        <w:rPr>
          <w:strike/>
        </w:rPr>
        <w:t>Remarketing</w:t>
      </w:r>
      <w:r>
        <w:rPr/>
        <w:t xml:space="preserve"> </w:t>
      </w:r>
      <w:r>
        <w:rPr>
          <w:u w:val="double"/>
        </w:rPr>
        <w:t>Reset</w:t>
      </w:r>
      <w:r>
        <w:rPr/>
        <w:t xml:space="preserve"> Date </w:t>
      </w:r>
      <w:r>
        <w:rPr>
          <w:u w:val="double"/>
        </w:rPr>
        <w:t>[</w:t>
      </w:r>
      <w:r>
        <w:rPr/>
        <w:t>(including the appointment of a book-entry depositary and the issuance of certificateless depositary interests by such depositary for purposes of effecting trading or settlement in any such systems)</w:t>
      </w:r>
      <w:r>
        <w:rPr>
          <w:u w:val="double"/>
        </w:rPr>
        <w:t>]</w:t>
      </w:r>
      <w:r>
        <w:rPr/>
        <w:t>.</w:t>
      </w:r>
    </w:p>
    <w:p>
      <w:pPr>
        <w:pStyle w:val="Normal"/>
        <w:widowControl/>
        <w:bidi w:val="0"/>
        <w:spacing w:before="0" w:after="120"/>
        <w:ind w:firstLine="720"/>
        <w:jc w:val="both"/>
        <w:rPr/>
      </w:pPr>
      <w:r>
        <w:rPr>
          <w:strike/>
        </w:rPr>
        <w:t>(c)</w:t>
      </w:r>
      <w:r>
        <w:rPr>
          <w:u w:val="double"/>
        </w:rPr>
        <w:t>(d)</w:t>
      </w:r>
      <w:r>
        <w:rPr/>
        <w:tab/>
        <w:t xml:space="preserve">During the period from the giving of the Call Notice through the Reset Date, the Company shall furnish </w:t>
      </w:r>
      <w:r>
        <w:rPr>
          <w:u w:val="double"/>
        </w:rPr>
        <w:t>(or make available on the Web site maintained by the Securities and Exchange Commission)</w:t>
      </w:r>
      <w:r>
        <w:rPr/>
        <w:t xml:space="preserve"> the Remarketing Agent </w:t>
      </w:r>
      <w:r>
        <w:rPr>
          <w:strike/>
        </w:rPr>
        <w:t>with</w:t>
      </w:r>
      <w:r>
        <w:rPr/>
        <w:t>, as soon as available, copies of all documents incorporated by reference in the Disclosure Document and all reports, if any, that the Company generally provides to holders of its publicly-held securities.</w:t>
      </w:r>
    </w:p>
    <w:p>
      <w:pPr>
        <w:pStyle w:val="Normal"/>
        <w:widowControl/>
        <w:bidi w:val="0"/>
        <w:spacing w:before="0" w:after="120"/>
        <w:ind w:firstLine="720"/>
        <w:jc w:val="both"/>
        <w:rPr/>
      </w:pPr>
      <w:r>
        <w:rPr>
          <w:strike/>
        </w:rPr>
        <w:t>(d)</w:t>
      </w:r>
      <w:r>
        <w:rPr>
          <w:u w:val="double"/>
        </w:rPr>
        <w:t>(e)</w:t>
      </w:r>
      <w:r>
        <w:rPr/>
        <w:tab/>
        <w:t xml:space="preserve">The Company shall provide the Remarketing Agent with the opportunity to perform customary due diligence with respect to the Company for a reasonable period prior to the </w:t>
      </w:r>
      <w:r>
        <w:rPr>
          <w:strike/>
        </w:rPr>
        <w:t>Remarketing</w:t>
      </w:r>
      <w:r>
        <w:rPr/>
        <w:t xml:space="preserve"> </w:t>
      </w:r>
      <w:r>
        <w:rPr>
          <w:u w:val="double"/>
        </w:rPr>
        <w:t>Reset</w:t>
      </w:r>
      <w:r>
        <w:rPr/>
        <w:t xml:space="preserve"> Date.</w:t>
      </w:r>
    </w:p>
    <w:p>
      <w:pPr>
        <w:pStyle w:val="Normal"/>
        <w:widowControl/>
        <w:bidi w:val="0"/>
        <w:spacing w:before="0" w:after="120"/>
        <w:ind w:firstLine="720"/>
        <w:jc w:val="both"/>
        <w:rPr>
          <w:u w:val="double"/>
        </w:rPr>
      </w:pPr>
      <w:r>
        <w:rPr>
          <w:strike/>
        </w:rPr>
        <w:t>(e)</w:t>
      </w:r>
      <w:r>
        <w:rPr>
          <w:u w:val="double"/>
        </w:rPr>
        <w:t>(f)</w:t>
      </w:r>
      <w:r>
        <w:rPr/>
        <w:tab/>
        <w:t xml:space="preserve">During the period from the giving of the Call Notice through the Reset Date, the Company shall provide prompt notice to the Remarketing Agent of </w:t>
      </w:r>
      <w:r>
        <w:rPr>
          <w:strike/>
        </w:rPr>
        <w:t>(i) any notification or announcement by a “nationally recognized statistical rating agency,” within the meaning of the Securities Exchange Act of 1934, as amended (the “Exchange Act”), with regard to the ratings of any securities of the Company, including a Ratings Event (as defined in Section 9(c)(i) hereof) or (ii)</w:t>
      </w:r>
      <w:r>
        <w:rPr/>
        <w:t xml:space="preserve"> the occurrence at any time of any event specified in Section </w:t>
      </w:r>
      <w:r>
        <w:rPr>
          <w:strike/>
        </w:rPr>
        <w:t>9(b) or</w:t>
      </w:r>
      <w:r>
        <w:rPr/>
        <w:t xml:space="preserve"> 9(c) hereof </w:t>
      </w:r>
      <w:r>
        <w:rPr>
          <w:u w:val="double"/>
        </w:rPr>
        <w:t>(other than clause (vi) thereof).</w:t>
      </w:r>
    </w:p>
    <w:p>
      <w:pPr>
        <w:pStyle w:val="Normal"/>
        <w:widowControl/>
        <w:bidi w:val="0"/>
        <w:spacing w:before="0" w:after="120"/>
        <w:ind w:firstLine="720"/>
        <w:jc w:val="both"/>
        <w:rPr/>
      </w:pPr>
      <w:r>
        <w:rPr>
          <w:u w:val="double"/>
        </w:rPr>
        <w:t>(g)</w:t>
      </w:r>
      <w:r>
        <w:rPr>
          <w:strike/>
        </w:rPr>
        <w:t>(f)</w:t>
      </w:r>
      <w:r>
        <w:rPr/>
        <w:tab/>
        <w:t xml:space="preserve">During the period from the giving of the Call Notice through the Reset Date, the Company </w:t>
      </w:r>
      <w:r>
        <w:rPr>
          <w:u w:val="double"/>
        </w:rPr>
        <w:t>(i)</w:t>
      </w:r>
      <w:r>
        <w:rPr/>
        <w:t xml:space="preserve"> shall not defease, purchase or otherwise acquire, or enter into any agreement to defease, purchase or otherwise acquire, any of the Notes so as to extinguish the Notes or adversely affect the ability of the Remarketing Agent to resell the Notes in accordance with this Agreement</w:t>
      </w:r>
      <w:r>
        <w:rPr>
          <w:strike/>
        </w:rPr>
        <w:t xml:space="preserve">, other than pursuant to the terms of the Notes and </w:t>
      </w:r>
      <w:r>
        <w:rPr/>
        <w:t xml:space="preserve"> </w:t>
      </w:r>
      <w:r>
        <w:rPr>
          <w:u w:val="double"/>
        </w:rPr>
        <w:t>and (ii)</w:t>
      </w:r>
      <w:r>
        <w:rPr/>
        <w:t xml:space="preserve"> shall use its reasonable best efforts to prevent any affiliate of the Company from doing the same.</w:t>
      </w:r>
    </w:p>
    <w:p>
      <w:pPr>
        <w:pStyle w:val="Normal"/>
        <w:widowControl/>
        <w:bidi w:val="0"/>
        <w:spacing w:before="0" w:after="120"/>
        <w:ind w:firstLine="720"/>
        <w:jc w:val="both"/>
        <w:rPr/>
      </w:pPr>
      <w:r>
        <w:rPr>
          <w:strike/>
        </w:rPr>
        <w:t>(g)</w:t>
      </w:r>
      <w:r>
        <w:rPr>
          <w:u w:val="double"/>
        </w:rPr>
        <w:t>(h)</w:t>
      </w:r>
      <w:r>
        <w:rPr/>
        <w:tab/>
        <w:t>During the period from the giving of the Call Notice through the Reset Date, the Company shall comply with each of the covenants and agreements applicable to the Company set forth in Section 6 of the Purchase Agreement, except to the extent that such covenants or agreements relate to the Trust or the Certificates.</w:t>
      </w:r>
    </w:p>
    <w:p>
      <w:pPr>
        <w:pStyle w:val="Normal"/>
        <w:widowControl/>
        <w:bidi w:val="0"/>
        <w:spacing w:before="120" w:after="120"/>
        <w:ind w:firstLine="720"/>
        <w:jc w:val="both"/>
        <w:rPr/>
      </w:pPr>
      <w:r>
        <w:rPr/>
        <w:t>SECTION 5.</w:t>
        <w:tab/>
      </w:r>
      <w:r>
        <w:rPr>
          <w:u w:val="single"/>
        </w:rPr>
        <w:t>Fees and Expenses</w:t>
      </w:r>
      <w:r>
        <w:rPr/>
        <w:t>. The Remarketing Agent shall not be entitled to any compensation or reimbursement for expenses in connection with its services under this Agreement, except that if this Agreement is terminated pursuant to Section 9(b) or 9(c) hereof, the Company shall reimburse the Remarketing Agent for all of its reasonable out-of-pocket expenses, including the reasonable fees and disbursements of counsel for the Remarketing Agent.</w:t>
      </w:r>
    </w:p>
    <w:p>
      <w:pPr>
        <w:pStyle w:val="Normal"/>
        <w:widowControl/>
        <w:bidi w:val="0"/>
        <w:spacing w:before="120" w:after="120"/>
        <w:ind w:firstLine="720"/>
        <w:jc w:val="both"/>
        <w:rPr/>
      </w:pPr>
      <w:r>
        <w:rPr/>
        <w:t>SECTION 6.</w:t>
        <w:tab/>
      </w:r>
      <w:r>
        <w:rPr>
          <w:u w:val="single"/>
        </w:rPr>
        <w:t>Rights and Liabilities of Remarketing Agent</w:t>
      </w:r>
      <w:r>
        <w:rPr/>
        <w:t xml:space="preserve">. The Remarketing Agent shall incur no liability for, or in respect of, any action taken, omitted to be taken or suffered by it in reliance upon any certificate, affidavit, instruction, notice, request, direction, order, statement or other paper, document or communication </w:t>
      </w:r>
      <w:r>
        <w:rPr>
          <w:strike/>
        </w:rPr>
        <w:t>reasonably believed by it to be genuine</w:t>
      </w:r>
      <w:r>
        <w:rPr/>
        <w:t xml:space="preserve"> </w:t>
      </w:r>
      <w:r>
        <w:rPr>
          <w:u w:val="double"/>
        </w:rPr>
        <w:t>that the Remarketing Agent reasonably believes is genuine, has been given or made by the proper party and conforms to the requirements of this Agreement or other applicable agreement or instrument</w:t>
      </w:r>
      <w:r>
        <w:rPr/>
        <w:t>. Any order, certificate, affidavit, instruction, notice, request, direction, statement or other communication from the Company made or given by it and sent, delivered or directed to the Remarketing Agent under, pursuant to, or as permitted by, any provision of this Agreement shall be sufficient for purposes of this Agreement if such communication is in writing and signed by any officer or attorney-in-fact of the Company. The Remarketing Agent may consult with counsel satisfactory to it and the advice of such counsel shall constitute full and complete authorization and protection of the Remarketing Agent with respect to any action taken, omitted to be taken or suffered by it hereunder in good faith and in accordance with and in reliance upon the advice of such counsel. The Interest Rate to Maturity announced by the Remarketing Agent, absent manifest error, shall be binding and conclusive upon the holders of beneficial interests in the Notes, the Company and the Indenture Trustee.</w:t>
      </w:r>
    </w:p>
    <w:p>
      <w:pPr>
        <w:pStyle w:val="Normal"/>
        <w:widowControl/>
        <w:bidi w:val="0"/>
        <w:spacing w:before="120" w:after="120"/>
        <w:ind w:firstLine="720"/>
        <w:jc w:val="both"/>
        <w:rPr/>
      </w:pPr>
      <w:r>
        <w:rPr/>
        <w:t>SECTION 7.</w:t>
        <w:tab/>
      </w:r>
      <w:r>
        <w:rPr>
          <w:u w:val="single"/>
        </w:rPr>
        <w:t>Right of Remarketing Agent to Own Notes, Etc.</w:t>
      </w:r>
      <w:r>
        <w:rPr/>
        <w:t xml:space="preserve"> The Remarketing Agent, or any of its officers, employees and shareholders, may become owners of, or acquire any interests in, any of the Notes, and may exercise any vote that, or consent to or join in any action to or in which, any holder of the Notes would be entitled to exercise or consent or join, as the case may be, with the same rights as if the Remarketing Agent were not Remarketing Agent hereunder. The Remarketing Agent may engage in, or have an interest in, any financial or other transaction with the Company or any of its affiliates as if the Remarketing Agent were not Remarketing Agent hereunder.</w:t>
      </w:r>
    </w:p>
    <w:p>
      <w:pPr>
        <w:pStyle w:val="Normal"/>
        <w:widowControl/>
        <w:bidi w:val="0"/>
        <w:spacing w:before="120" w:after="120"/>
        <w:ind w:firstLine="720"/>
        <w:jc w:val="both"/>
        <w:rPr/>
      </w:pPr>
      <w:r>
        <w:rPr/>
        <w:t>SECTION 8.</w:t>
        <w:tab/>
      </w:r>
      <w:r>
        <w:rPr>
          <w:u w:val="single"/>
        </w:rPr>
        <w:t>Duties of Remarketing Agent</w:t>
      </w:r>
      <w:r>
        <w:rPr/>
        <w:t>. In acting under this Agreement in connection with the Notes, the Remarketing Agent shall be obligated only to perform such duties as are specifically set forth herein and no other duties or obligations on the part of the Remarketing Agent, in its capacity as such, shall be implied by this Agreement. In acting under this Agreement, the Remarketing Agent (in its capacity as such) assumes no obligation toward, or any relationship of agency or trust for or with, any of the holders of the Notes.</w:t>
      </w:r>
    </w:p>
    <w:p>
      <w:pPr>
        <w:pStyle w:val="Normal"/>
        <w:keepNext w:val="true"/>
        <w:keepLines/>
        <w:widowControl/>
        <w:bidi w:val="0"/>
        <w:spacing w:before="120" w:after="120"/>
        <w:ind w:firstLine="720"/>
        <w:jc w:val="both"/>
        <w:rPr/>
      </w:pPr>
      <w:r>
        <w:rPr/>
        <w:t xml:space="preserve">SECTION 9. </w:t>
      </w:r>
      <w:r>
        <w:rPr>
          <w:u w:val="single"/>
        </w:rPr>
        <w:t>Termination; Resignation or Removal of Remarketing Agent</w:t>
      </w:r>
      <w:r>
        <w:rPr/>
        <w:t xml:space="preserve">. </w:t>
      </w:r>
    </w:p>
    <w:p>
      <w:pPr>
        <w:pStyle w:val="Normal"/>
        <w:widowControl/>
        <w:bidi w:val="0"/>
        <w:spacing w:before="0" w:after="120"/>
        <w:ind w:firstLine="720"/>
        <w:jc w:val="both"/>
        <w:rPr/>
      </w:pPr>
      <w:r>
        <w:rPr/>
        <w:t>(a)</w:t>
        <w:tab/>
        <w:t xml:space="preserve">This Agreement shall terminate automatically if: (i) the Callholder exercises its right to purchase, but fails to make payment for, the Notes under the </w:t>
      </w:r>
      <w:r>
        <w:rPr>
          <w:u w:val="double"/>
        </w:rPr>
        <w:t>Trust</w:t>
      </w:r>
      <w:r>
        <w:rPr/>
        <w:t xml:space="preserve"> Call Option; (ii) the Company exercises its option under a confirmation dated </w:t>
      </w:r>
      <w:r>
        <w:rPr>
          <w:strike/>
        </w:rPr>
        <w:t>____</w:t>
      </w:r>
      <w:r>
        <w:rPr>
          <w:u w:val="double"/>
        </w:rPr>
        <w:t>June __</w:t>
      </w:r>
      <w:r>
        <w:rPr/>
        <w:t xml:space="preserve">, 2000 between the Callholder and the Company entered into pursuant to an ISDA Master Agreement dated as of December 9, 1997, including the schedule attached thereto, between the Callholder and the Company to which such confirmation forms a part (the </w:t>
      </w:r>
      <w:r>
        <w:rPr>
          <w:strike/>
        </w:rPr>
        <w:t>“Contingent</w:t>
      </w:r>
      <w:r>
        <w:rPr>
          <w:u w:val="double"/>
        </w:rPr>
        <w:t>“Company</w:t>
      </w:r>
      <w:r>
        <w:rPr>
          <w:u w:val="single"/>
        </w:rPr>
        <w:t xml:space="preserve"> Call Option</w:t>
      </w:r>
      <w:r>
        <w:rPr/>
        <w:t>”); or (iii) the Trust Call Option terminates in accordance with its terms.</w:t>
      </w:r>
    </w:p>
    <w:p>
      <w:pPr>
        <w:pStyle w:val="Normal"/>
        <w:widowControl/>
        <w:bidi w:val="0"/>
        <w:spacing w:before="0" w:after="120"/>
        <w:ind w:firstLine="720"/>
        <w:jc w:val="both"/>
        <w:rPr/>
      </w:pPr>
      <w:r>
        <w:rPr/>
        <w:t>(b)</w:t>
        <w:tab/>
        <w:t xml:space="preserve">This Agreement shall also terminate automatically if, during the period from the </w:t>
      </w:r>
      <w:r>
        <w:rPr>
          <w:strike/>
        </w:rPr>
        <w:t>time of the giving of the Call Notice</w:t>
      </w:r>
      <w:r>
        <w:rPr/>
        <w:t xml:space="preserve"> </w:t>
      </w:r>
      <w:r>
        <w:rPr>
          <w:u w:val="double"/>
        </w:rPr>
        <w:t>Determination Date</w:t>
      </w:r>
      <w:r>
        <w:rPr/>
        <w:t xml:space="preserve"> through the Reset Date, any Market Disruption Event (as defined below) shall have occurred. As used herein, “</w:t>
      </w:r>
      <w:r>
        <w:rPr>
          <w:u w:val="single"/>
        </w:rPr>
        <w:t>Market Disruption Event</w:t>
      </w:r>
      <w:r>
        <w:rPr/>
        <w:t xml:space="preserve">” means: (i) the Company and the Remarketing Agent shall have determined that (A) a suspension or material limitation in trading in securities generally </w:t>
      </w:r>
      <w:r>
        <w:rPr>
          <w:u w:val="double"/>
        </w:rPr>
        <w:t>(which shall not be construed to include [_____] trading curbs imposed during periods of trading)</w:t>
      </w:r>
      <w:r>
        <w:rPr/>
        <w:t>    on the New York Stock Exchange or the London Stock Exchange or the establishment of minimum prices in any such exchange</w:t>
      </w:r>
      <w:r>
        <w:rPr>
          <w:strike/>
        </w:rPr>
        <w:t>, (B) a suspension or material limitation in trading in the Company’s securities on the New York Stock Exchange, (C)</w:t>
      </w:r>
      <w:r>
        <w:rPr/>
        <w:t xml:space="preserve"> </w:t>
      </w:r>
      <w:r>
        <w:rPr>
          <w:u w:val="double"/>
        </w:rPr>
        <w:t>shall have occurred, (B)</w:t>
      </w:r>
      <w:r>
        <w:rPr/>
        <w:t xml:space="preserve"> a general moratorium on commercial banking activities declared by Federal, New York or United Kingdom authorities</w:t>
      </w:r>
      <w:r>
        <w:rPr>
          <w:strike/>
        </w:rPr>
        <w:t>, (D)</w:t>
      </w:r>
      <w:r>
        <w:rPr/>
        <w:t xml:space="preserve"> </w:t>
      </w:r>
      <w:r>
        <w:rPr>
          <w:u w:val="double"/>
        </w:rPr>
        <w:t>shall have occurred, (C)</w:t>
      </w:r>
      <w:r>
        <w:rPr/>
        <w:t xml:space="preserve"> an outbreak or escalation of hostilities involving the United States or the United Kingdom or the declaration of a national emergency </w:t>
      </w:r>
      <w:r>
        <w:rPr>
          <w:strike/>
        </w:rPr>
        <w:t>or war by</w:t>
      </w:r>
      <w:r>
        <w:rPr/>
        <w:t xml:space="preserve"> </w:t>
      </w:r>
      <w:r>
        <w:rPr>
          <w:u w:val="double"/>
        </w:rPr>
        <w:t>involving hostilities between or among</w:t>
      </w:r>
      <w:r>
        <w:rPr/>
        <w:t xml:space="preserve"> the United States or the United Kingdom </w:t>
      </w:r>
      <w:r>
        <w:rPr>
          <w:strike/>
        </w:rPr>
        <w:t>or (E) any</w:t>
      </w:r>
      <w:r>
        <w:rPr/>
        <w:t xml:space="preserve"> </w:t>
      </w:r>
      <w:r>
        <w:rPr>
          <w:u w:val="double"/>
        </w:rPr>
        <w:t>and any other nation or war by the United States or the United Kingdom shall have occurred or (D) any</w:t>
      </w:r>
      <w:r>
        <w:rPr/>
        <w:t xml:space="preserve"> material disruption of the United States Treasury Bond or corporate bond markets or the United Kingdom Gilt or corporate bond markets or the trading and settlement systems for any such markets shall have occurred; </w:t>
      </w:r>
      <w:r>
        <w:rPr>
          <w:strike/>
        </w:rPr>
        <w:t>(ii) the Remarketing Agent shall have received fewer than three Bids by the Bid Deadline; or (iii) any</w:t>
      </w:r>
      <w:r>
        <w:rPr/>
        <w:t xml:space="preserve"> </w:t>
      </w:r>
      <w:r>
        <w:rPr>
          <w:u w:val="double"/>
        </w:rPr>
        <w:t>or (ii) any</w:t>
      </w:r>
      <w:r>
        <w:rPr/>
        <w:t xml:space="preserve"> change in national or international financial, political or economic conditions or currency exchange rates or exchange controls shall have occurred that in the reasonable judgement of the Remarketing Agent would materially and adversely affect any resale of the Notes or dealing in the Notes in the secondary market.</w:t>
      </w:r>
    </w:p>
    <w:p>
      <w:pPr>
        <w:pStyle w:val="Normal"/>
        <w:widowControl/>
        <w:bidi w:val="0"/>
        <w:spacing w:before="0" w:after="120"/>
        <w:ind w:firstLine="720"/>
        <w:jc w:val="both"/>
        <w:rPr/>
      </w:pPr>
      <w:r>
        <w:rPr/>
        <w:t>(c)</w:t>
        <w:tab/>
        <w:t xml:space="preserve">This Agreement shall also terminate upon notice by the Remarketing Agent to the Company if, during the period from the time of the giving of the Call Notice through the Reset Date: (i) any rating of any securities of the Company shall have been downgraded or placed under surveillance or review, including being placed on CreditWatch, Watch List or the equivalent thereof with negative implications, or withdrawn by a </w:t>
      </w:r>
      <w:r>
        <w:rPr>
          <w:strike/>
        </w:rPr>
        <w:t>nationally</w:t>
      </w:r>
      <w:r>
        <w:rPr>
          <w:u w:val="double"/>
        </w:rPr>
        <w:t>“nationally</w:t>
      </w:r>
      <w:r>
        <w:rPr/>
        <w:t xml:space="preserve"> recognized statistical rating organization</w:t>
      </w:r>
      <w:r>
        <w:rPr>
          <w:strike/>
        </w:rPr>
        <w:t xml:space="preserve">(a “Ratings Event”); (ii) </w:t>
      </w:r>
      <w:r>
        <w:rPr>
          <w:u w:val="double"/>
        </w:rPr>
        <w:t>,” within the meaning of the Securities Exchange Act of 1934, as amended (the “Exchange Act”); (ii) trading in the Company’s securities on the New York Stock Exchange shall have been suspended or materially limited, (iii)</w:t>
      </w:r>
      <w:r>
        <w:rPr/>
        <w:t xml:space="preserve"> any change, or any development involving a prospective change, in or affecting the general affairs, management, financial position, stockholders’ equity or results of operations of the Company and its subsidiaries, considered as one enterprise, shall have occurred that in the reasonable judgment of the Remarketing Agent would materially and adversely affect the resale of the Notes; </w:t>
      </w:r>
      <w:r>
        <w:rPr>
          <w:strike/>
        </w:rPr>
        <w:t>or (iii) any event that is designated, or the occurrence or continuation of any event that, with the giving of notice or passage of time or both, would constitute,</w:t>
      </w:r>
      <w:r>
        <w:rPr>
          <w:u w:val="double"/>
        </w:rPr>
        <w:t>(iv) any representation or warranty of the Company contained in this Agreement shall not be true or correct in any material respect or the Company shall not have performed any of its obligations hereunder in accordance with the terms hereof; (v)</w:t>
      </w:r>
      <w:r>
        <w:rPr/>
        <w:t xml:space="preserve"> an Event of Default (as defined in the Indenture) </w:t>
      </w:r>
      <w:r>
        <w:rPr>
          <w:u w:val="double"/>
        </w:rPr>
        <w:t>or an event of default with respect to any indebtedness of the Company other than the Notes (as such event of default is defined in any notes, indenture, credit agreement or other similar document relating to such indebtedness), which indebtedness individually or in the aggregate exceeds of $[50] million, shall have occurred and be continuing or (vi) the Remarketing Agent shall not have received any Bids by the Bid Deadline or no Reference Gilt Dealer shall have quoted a Reference Gilt Dealer Quotation at 10:00 a.m. (London time) on the Determination Date. </w:t>
      </w:r>
    </w:p>
    <w:p>
      <w:pPr>
        <w:pStyle w:val="Normal"/>
        <w:widowControl/>
        <w:bidi w:val="0"/>
        <w:spacing w:before="0" w:after="120"/>
        <w:ind w:firstLine="720"/>
        <w:jc w:val="both"/>
        <w:rPr/>
      </w:pPr>
      <w:r>
        <w:rPr/>
        <w:t>(d)</w:t>
        <w:tab/>
        <w:t>The Remarketing Agent may resign and be discharged from its duties and obligations hereunder at any time, such resignation to be effective 30 Business Days after delivery of a written notice to the Company and the Indenture Trustee thereof. It shall be the sole responsibility of the Company to appoint a successor Remarketing Agent hereunder.</w:t>
      </w:r>
    </w:p>
    <w:p>
      <w:pPr>
        <w:pStyle w:val="Normal"/>
        <w:widowControl/>
        <w:bidi w:val="0"/>
        <w:spacing w:before="0" w:after="120"/>
        <w:ind w:firstLine="720"/>
        <w:jc w:val="both"/>
        <w:rPr/>
      </w:pPr>
      <w:r>
        <w:rPr/>
        <w:t>(e)</w:t>
        <w:tab/>
        <w:t>The Company may at any time appoint a new Remarketing Agent other than the incumbent Remarketing Agent if Reasonable Cause (as defined below) exists at such time by giving written notice to the incumbent Remarketing Agent and specifying the date when such appointment shall become effective. As used herein, “</w:t>
      </w:r>
      <w:r>
        <w:rPr>
          <w:u w:val="single"/>
        </w:rPr>
        <w:t>Reasonable Cause</w:t>
      </w:r>
      <w:r>
        <w:rPr/>
        <w:t>” means (i) the failure or inability of the incumbent Remarketing Agent to perform any obligations it may have hereunder for any reason or (ii) the assignment by the Callholder of its rights and liabilities under the Trust Call Option to an unaffiliated entity.</w:t>
      </w:r>
    </w:p>
    <w:p>
      <w:pPr>
        <w:pStyle w:val="BodyTextFirstIndent"/>
        <w:widowControl/>
        <w:bidi w:val="0"/>
        <w:spacing w:before="0" w:after="120"/>
        <w:ind w:firstLine="720"/>
        <w:jc w:val="both"/>
        <w:rPr>
          <w:rFonts w:ascii="Times New Roman" w:hAnsi="Times New Roman"/>
        </w:rPr>
      </w:pPr>
      <w:r>
        <w:rPr/>
        <w:t>(f)</w:t>
        <w:tab/>
        <w:t xml:space="preserve">If this Agreement is terminated pursuant to Section 9(a), 9(b), 9(c) or 9(d) hereof, the Company and the Remarketing Agent shall not be under any obligation under this Agreement (except to the extent, if any, provided in Section 4(b), 5, 11 or 14 hereof). </w:t>
      </w:r>
    </w:p>
    <w:p>
      <w:pPr>
        <w:pStyle w:val="Normal"/>
        <w:widowControl/>
        <w:bidi w:val="0"/>
        <w:spacing w:before="120" w:after="120"/>
        <w:ind w:firstLine="720"/>
        <w:jc w:val="both"/>
        <w:rPr/>
      </w:pPr>
      <w:r>
        <w:rPr/>
        <w:t>SECTION 10.</w:t>
        <w:tab/>
      </w:r>
      <w:r>
        <w:rPr>
          <w:u w:val="single"/>
        </w:rPr>
        <w:t>Appointment of Successor Remarketing Agent</w:t>
      </w:r>
      <w:r>
        <w:rPr/>
        <w:t>. Any successor Remarketing Agent appointed by the Company pursuant to Section 9(d) or 9(e) hereof shall execute and deliver to the incumbent Remarketing Agent and to the Company an instrument accepting such appointment and thereupon such successor Remarketing Agent shall, without any further act or instrument, become vested with all the rights, immunities, duties and obligations of the incumbent Remarketing Agent, with like effect as if originally named as the Remarketing Agent hereunder, and the incumbent Remarketing Agent shall thereupon be obligated to transfer and deliver, and such successor Remarketing Agent shall be entitled to receive and accept, copies of any available records maintained by the Remarketing Agent in connection with the performance of its obligations hereunder.</w:t>
      </w:r>
    </w:p>
    <w:p>
      <w:pPr>
        <w:pStyle w:val="Normal"/>
        <w:widowControl/>
        <w:bidi w:val="0"/>
        <w:spacing w:before="120" w:after="120"/>
        <w:ind w:firstLine="720"/>
        <w:jc w:val="both"/>
        <w:rPr/>
      </w:pPr>
      <w:r>
        <w:rPr/>
        <w:t>SECTION 11.</w:t>
        <w:tab/>
      </w:r>
      <w:r>
        <w:rPr>
          <w:u w:val="single"/>
        </w:rPr>
        <w:t>Indemnification and Contribution</w:t>
      </w:r>
      <w:r>
        <w:rPr/>
        <w:t>.</w:t>
      </w:r>
    </w:p>
    <w:p>
      <w:pPr>
        <w:pStyle w:val="Normal"/>
        <w:widowControl/>
        <w:suppressAutoHyphens w:val="true"/>
        <w:bidi w:val="0"/>
        <w:spacing w:before="0" w:after="120"/>
        <w:ind w:firstLine="720"/>
        <w:jc w:val="both"/>
        <w:rPr/>
      </w:pPr>
      <w:r>
        <w:rPr/>
        <w:t>(a)</w:t>
        <w:tab/>
        <w:t xml:space="preserve">The Company shall (i) indemnify and hold harmless the Remarketing Agent and the Callholder for and against any losses, damages or liabilities, joint or several, to which the Remarketing Agent or the Callholder, as the case may be, may become subject, under the Exchange Act or otherwise, insofar as such losses, damages or liabilities (or actions or claims in respect thereof) arise out of or are based upon (A) an untrue statement or alleged untrue statement of a material fact contained in the Disclosure Document, or any amendment or supplement thereto, or arise out of or are based upon the omission or alleged omission to state therein a material fact required to be stated therein or necessary to make the statements therein not misleading or (B) actions or omissions in any capacity hereunder, except losses, damages or liabilities caused by the bad faith, negligence or willful misconduct of the Remarketing Agent and (ii) reimburse the Remarketing Agent or the Callholder, as the case may be, for any legal or other expenses incurred by the Remarketing Agent or the Callholder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Disclosure Document, or any such amendment or supplement, in reliance upon and in conformity with information furnished in writing to the Company by the Remarketing Agent or the Callholder, as the case may be, expressly for use in the Disclosure Document, or any such amendment or supplement.</w:t>
      </w:r>
    </w:p>
    <w:p>
      <w:pPr>
        <w:pStyle w:val="Normal"/>
        <w:widowControl/>
        <w:suppressAutoHyphens w:val="true"/>
        <w:bidi w:val="0"/>
        <w:spacing w:before="0" w:after="120"/>
        <w:ind w:firstLine="720"/>
        <w:jc w:val="both"/>
        <w:rPr/>
      </w:pPr>
      <w:r>
        <w:rPr/>
        <w:t>(b)</w:t>
        <w:tab/>
        <w:t>The Remarketing Agent shall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Disclosure Document,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Disclosure Document, or any such amendment or supplement, in reliance upon and in conformity with the information furnished in writing to the Company by the Remarketing Agent expressly for use in the Disclosure Document, or any such amendment or supplement, and shall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Remarketing Agent).</w:t>
      </w:r>
    </w:p>
    <w:p>
      <w:pPr>
        <w:pStyle w:val="Normal"/>
        <w:widowControl/>
        <w:suppressAutoHyphens w:val="true"/>
        <w:bidi w:val="0"/>
        <w:spacing w:before="0" w:after="120"/>
        <w:ind w:firstLine="720"/>
        <w:jc w:val="both"/>
        <w:rPr/>
      </w:pPr>
      <w:r>
        <w:rPr/>
        <w:t>(c)</w:t>
        <w:tab/>
        <w:t xml:space="preserve">Promptly after receipt by an indemnified party under Section 11(a) or 11(b) hereof of notice of the commencement of any action, such indemnified party shall, if a claim in respect thereof is to be made against the indemnifying party under Section 11(a) or 11(b)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11(a) or 11(b)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11(a) or 11(b) hereof similarly notified, to assume the defense thereof, with counsel satisfactory to such indemnified party (who shall not, except with the consent of such indemnified party, be counsel to such indemnifying </w:t>
      </w:r>
      <w:r>
        <w:rPr>
          <w:u w:val="double"/>
        </w:rPr>
        <w:t xml:space="preserve">party </w:t>
      </w:r>
      <w:r>
        <w:rPr>
          <w:rFonts w:ascii="Tms Rmn" w:hAnsi="Tms Rmn"/>
          <w:color w:val="000000"/>
          <w:u w:val="double"/>
        </w:rPr>
        <w:t>if such indemnified party reasonably objects to such assumption on the ground that there may be legal defenses available to it that are different from or in addition to those available to such indemnifying</w:t>
      </w:r>
      <w:r>
        <w:rPr>
          <w:rFonts w:ascii="Tms Rmn" w:hAnsi="Tms Rmn"/>
          <w:color w:val="000000"/>
        </w:rPr>
        <w:t xml:space="preserve"> party</w:t>
      </w:r>
      <w:r>
        <w:rPr/>
        <w:t>), and, after notice from such indemnifying party to such indemnified party of its election so to assume the defense thereof, such indemnifying party shall not be liable to such indemnified party under Section 11(a) or 11(b)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11(a) or 11(b) hereof to reimburse such indemnified party for fees and expenses of counsel, such indemnifying party agrees that it shall be liable for any settlement of the nature contemplated by Section 11(a) or 11(b)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widowControl/>
        <w:suppressAutoHyphens w:val="true"/>
        <w:bidi w:val="0"/>
        <w:spacing w:before="0" w:after="120"/>
        <w:ind w:firstLine="720"/>
        <w:jc w:val="both"/>
        <w:rPr/>
      </w:pPr>
      <w:r>
        <w:rPr/>
        <w:t>(d)</w:t>
        <w:tab/>
        <w:t xml:space="preserve">If the indemnification provided for in this Section 11 is unavailable to or insufficient to indemnify or hold harmless an indemnified party under Section 11(a) or 11(b) hereof in respect of any losses, damages or liabilities (or actions or claims in respect thereof) referred to therein, then each indemnifying party under Section 11(a) or 11(b)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Remarketing Agent on the other hand from the resale of the Notes. If, however, the allocation provided by the immediately preceding sentence is not permitted by applicable law or if such indemnified party failed to give the notice required under Section 11(c)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Remarketing Agent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Remarketing Agent on the other hand shall be deemed to be in the same proportion as the aggregate principal amount of the Notes bears to the excess, if any, of the price paid by the Callholder for the Notes and the price at which the Notes are resold by the Remarketing Agent pursuant to this Agreement. The relative fault of the Company on the one hand and the Remarketing Agent on the other hand shall be determined by reference to, among other things, whether the untrue or alleged untrue statement of a material fact or the omission or alleged omission to state a material fact relates to information supplied by the Company or the Remarketing Agent and the parties’ relative intent, knowledge, access to information and opportunity to correct or prevent such statement or omission. The Company and the Remarketing Agent agree that it would not be just and equitable if contribution pursuant to this Section 11(d) were determined by </w:t>
      </w:r>
      <w:r>
        <w:rPr>
          <w:i/>
        </w:rPr>
        <w:t xml:space="preserve">pro rata </w:t>
      </w:r>
      <w:r>
        <w:rPr/>
        <w:t xml:space="preserve">allocation or by any other method of allocation that does not take account of the equitable considerations referred to above in this Section 11(d). The amount paid or payable by such an indemnified party as a result of the losses, damages or liabilities (or actions or claims in respect thereof) referred to above in this Section 11(d) shall be deemed to include any legal or other expenses incurred by such indemnified party in connection with investigating or defending any such action or claim. Notwithstanding the provisions of this Section 11(d), the Remarketing Agent shall not be required to contribute any amount in excess of the amount, if any, by which the price paid by the Callholder for the Notes exceeds the price at which the Notes are resold </w:t>
      </w:r>
      <w:r>
        <w:rPr>
          <w:strike/>
        </w:rPr>
        <w:t>by the Remarketing Agent</w:t>
      </w:r>
      <w:r>
        <w:rPr/>
        <w:t xml:space="preserve"> pursuant to this Agreement less the amount of any damages that the Remarketing Agent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widowControl/>
        <w:suppressAutoHyphens w:val="true"/>
        <w:bidi w:val="0"/>
        <w:spacing w:before="0" w:after="120"/>
        <w:ind w:firstLine="720"/>
        <w:jc w:val="both"/>
        <w:rPr/>
      </w:pPr>
      <w:r>
        <w:rPr/>
        <w:t>(e)</w:t>
        <w:tab/>
        <w:t>The obligations of the Company under this Section 11 shall be in addition to any liability that the Company may otherwise have and shall extend, upon the same terms and conditions, to each officer, director, employee, agent or other representative of, and to each person, if any, who controls, the Remarketing Agent or the Callholder, as the case may be, within the meaning of the Exchange Act; and the obligations of the Remarketing Agent under this Section 11 shall be in addition to any liability that it may otherwise have and shall extend, upon the same terms and conditions, to each officer, director, employee, agent or other representative of, and to each person, if any, who controls, the Company within the meaning of the Exchange Act.</w:t>
      </w:r>
    </w:p>
    <w:p>
      <w:pPr>
        <w:pStyle w:val="Normal"/>
        <w:widowControl/>
        <w:bidi w:val="0"/>
        <w:spacing w:before="120" w:after="120"/>
        <w:ind w:firstLine="720"/>
        <w:jc w:val="both"/>
        <w:rPr/>
      </w:pPr>
      <w:r>
        <w:rPr/>
        <w:t>SECTION 12.</w:t>
        <w:tab/>
      </w:r>
      <w:r>
        <w:rPr>
          <w:u w:val="single"/>
        </w:rPr>
        <w:t>Merger, Consolidation or Sale of Business by Remarketing Agent</w:t>
      </w:r>
      <w:r>
        <w:rPr/>
        <w:t>. Any corporation into which the Remarketing Agent may be merged, converted or consolidated, or any corporation resulting from any merger, conversion or consolidation to which the Remarketing Agent may be a party, or any corporation to which the Remarketing Agent may sell or otherwise transfer all or substantially all of its business, shall, to the extent permitted by applicable law, become the Remarketing Agent under this Agreement without the execution of any document or any further act by the parties hereto.</w:t>
      </w:r>
    </w:p>
    <w:p>
      <w:pPr>
        <w:pStyle w:val="Normal"/>
        <w:widowControl/>
        <w:bidi w:val="0"/>
        <w:spacing w:before="120" w:after="120"/>
        <w:ind w:firstLine="720"/>
        <w:jc w:val="both"/>
        <w:rPr/>
      </w:pPr>
      <w:r>
        <w:rPr/>
        <w:t>SECTION 13.</w:t>
        <w:tab/>
      </w:r>
      <w:r>
        <w:rPr>
          <w:u w:val="single"/>
        </w:rPr>
        <w:t>Notices</w:t>
      </w:r>
      <w:r>
        <w:rPr/>
        <w:t>. Any notice or other communication given hereunder shall be delivered in person, sent by letter, telecopy or telex or communicated by telephone (subject, in the case of communication by telephone, to written confirmation dispatched within 24 hours) to (a) in the case of the Company, 1400 Smith Street, Houston, Texas 77002-7369, Attention: _____ (telecopy: ______; telephone: ______) and (b) in the case of the Remarketing Agent, 677 Washington Boulevard, Stamford, Connecticut 06971, Attention: ______ (telecopy: ______; telephone: ______); with copies to the Callholder at 100 Liverpool Street, London EC2M 2RH, England, Attention: Legal Affairs (telecopy: 44-171-567-4406; telephone: 44-171-567-8000), and at UBS AG, Legal Services, Bahnhofstrasse 45, Zurich, CH-270.3.004.646-4 (or, in the case of either clause (a) or (b) above, such other address as the party to receive such notice may have previously specified). Any notice hereunder given by letter, telecopy or telex shall be deemed to have been received when it would have been received in the ordinary course of post or transmission, as the case may be.</w:t>
      </w:r>
    </w:p>
    <w:p>
      <w:pPr>
        <w:pStyle w:val="Normal"/>
        <w:keepNext w:val="true"/>
        <w:keepLines/>
        <w:widowControl/>
        <w:bidi w:val="0"/>
        <w:spacing w:before="120" w:after="120"/>
        <w:ind w:firstLine="720"/>
        <w:jc w:val="both"/>
        <w:rPr/>
      </w:pPr>
      <w:r>
        <w:rPr/>
        <w:t>SECTION 14.</w:t>
        <w:tab/>
      </w:r>
      <w:r>
        <w:rPr>
          <w:u w:val="single"/>
        </w:rPr>
        <w:t>Consent to Jurisdiction; Waiver of Jury Trial</w:t>
      </w:r>
      <w:r>
        <w:rPr/>
        <w:t xml:space="preserve">. </w:t>
      </w:r>
    </w:p>
    <w:p>
      <w:pPr>
        <w:pStyle w:val="Normal"/>
        <w:keepNext w:val="true"/>
        <w:keepLines/>
        <w:widowControl/>
        <w:bidi w:val="0"/>
        <w:spacing w:before="0" w:after="120"/>
        <w:ind w:firstLine="720"/>
        <w:jc w:val="both"/>
        <w:rPr/>
      </w:pPr>
      <w:r>
        <w:rPr/>
        <w:t>(a)</w:t>
        <w:tab/>
        <w:t xml:space="preserve">The Company and the Remarketing Agent irrevocably consent and agree that any civil legal action, suit or proceeding against them with respect to their obligations, liabilities or any other matter arising out of or in connection with this Agreement may be brought in the </w:t>
      </w:r>
      <w:r>
        <w:rPr>
          <w:u w:val="double"/>
        </w:rPr>
        <w:t>Commercial Division, Civil Branch of the</w:t>
      </w:r>
      <w:r>
        <w:rPr/>
        <w:t xml:space="preserve"> Supreme Court of New York, New York County or the United States District Court for the Southern District of New York and any appellate court from either thereof and, until amounts due and to become due in respect of this Agreement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Normal"/>
        <w:widowControl/>
        <w:bidi w:val="0"/>
        <w:spacing w:before="0" w:after="120"/>
        <w:jc w:val="both"/>
        <w:rPr/>
      </w:pPr>
      <w:r>
        <w:rPr/>
        <w:tab/>
        <w:t>(b)</w:t>
        <w:tab/>
        <w:t xml:space="preserve">Each of the Company and the Remarketing Agent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w:t>
      </w:r>
      <w:r>
        <w:rPr>
          <w:u w:val="double"/>
        </w:rPr>
        <w:t>Commercial Division, Civil Branch of the</w:t>
      </w:r>
      <w:r>
        <w:rPr/>
        <w:t xml:space="preserv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widowControl/>
        <w:bidi w:val="0"/>
        <w:spacing w:before="120" w:after="120"/>
        <w:ind w:firstLine="720"/>
        <w:jc w:val="both"/>
        <w:rPr>
          <w:strike/>
        </w:rPr>
      </w:pPr>
      <w:r>
        <w:rPr>
          <w:strike/>
        </w:rPr>
        <w:t>(c) Each of the Company and the Remarketing Agent hereby irrevocably waives any and all right to trial by jury in any suit, action or proceeding arising out of or relating to this Agreement or any transaction and acknowledges that this waiver is a material inducement to the other party’s entering into this Agreement.</w:t>
      </w:r>
    </w:p>
    <w:p>
      <w:pPr>
        <w:pStyle w:val="Normal"/>
        <w:widowControl/>
        <w:bidi w:val="0"/>
        <w:spacing w:before="120" w:after="120"/>
        <w:ind w:firstLine="720"/>
        <w:jc w:val="both"/>
        <w:rPr/>
      </w:pPr>
      <w:r>
        <w:rPr/>
        <w:t>SECTION 15.</w:t>
        <w:tab/>
      </w:r>
      <w:r>
        <w:rPr>
          <w:u w:val="single"/>
        </w:rPr>
        <w:t>Survival</w:t>
      </w:r>
      <w:r>
        <w:rPr/>
        <w:t>. The indemnity and contribution agreements contained in Section 11 hereof, and all other covenants, warranties and representations contained in this Agreement, shall remain in full force and effect regardless of any investigation made by or on behalf of any persons, and shall survive the remarketing or resale of the Notes hereunder.</w:t>
      </w:r>
    </w:p>
    <w:p>
      <w:pPr>
        <w:pStyle w:val="Normal"/>
        <w:widowControl/>
        <w:bidi w:val="0"/>
        <w:spacing w:before="120" w:after="120"/>
        <w:ind w:firstLine="720"/>
        <w:jc w:val="both"/>
        <w:rPr/>
      </w:pPr>
      <w:r>
        <w:rPr/>
        <w:t>SECTION 16.</w:t>
        <w:tab/>
      </w:r>
      <w:r>
        <w:rPr>
          <w:u w:val="single"/>
        </w:rPr>
        <w:t>Benefit of Agreement</w:t>
      </w:r>
      <w:r>
        <w:rPr/>
        <w:t>. This Agreement is solely for the benefit of the parties hereto and, to the extent set forth in Section 11 hereof, the Callholder and their successors and assigns and no other person shall acquire or have any rights under or by virtue hereof.</w:t>
      </w:r>
    </w:p>
    <w:p>
      <w:pPr>
        <w:pStyle w:val="Normal"/>
        <w:widowControl/>
        <w:bidi w:val="0"/>
        <w:spacing w:before="120" w:after="120"/>
        <w:ind w:firstLine="720"/>
        <w:jc w:val="both"/>
        <w:rPr/>
      </w:pPr>
      <w:r>
        <w:rPr/>
        <w:t>SECTION 17.</w:t>
        <w:tab/>
      </w:r>
      <w:r>
        <w:rPr>
          <w:u w:val="single"/>
        </w:rPr>
        <w:t>Governing Law</w:t>
      </w:r>
      <w:r>
        <w:rPr/>
        <w:t>. This Agreement shall be governed by and construed in accordance with the laws of the State of New York.</w:t>
      </w:r>
    </w:p>
    <w:p>
      <w:pPr>
        <w:pStyle w:val="Normal"/>
        <w:widowControl/>
        <w:bidi w:val="0"/>
        <w:spacing w:before="120" w:after="120"/>
        <w:ind w:firstLine="720"/>
        <w:jc w:val="both"/>
        <w:rPr/>
      </w:pPr>
      <w:r>
        <w:rPr/>
        <w:t>SECTION 18.</w:t>
        <w:tab/>
      </w:r>
      <w:r>
        <w:rPr>
          <w:u w:val="single"/>
        </w:rPr>
        <w:t>Counterparts</w:t>
      </w:r>
      <w:r>
        <w:rPr/>
        <w:t>. This Agreement may be executed in any number of counterparts, each of which shall be an original; but such counterparts shall together constitute but one and the same instrument.</w:t>
      </w:r>
      <w:r>
        <w:br w:type="page"/>
      </w:r>
    </w:p>
    <w:p>
      <w:pPr>
        <w:pStyle w:val="Normal"/>
        <w:widowControl/>
        <w:bidi w:val="0"/>
        <w:spacing w:before="0" w:after="120"/>
        <w:ind w:firstLine="720"/>
        <w:jc w:val="both"/>
        <w:rPr/>
      </w:pPr>
      <w:r>
        <w:rPr/>
        <w:t>IN WITNESS WHEREOF, this Agreement has been entered into as of the day and year first above written.</w:t>
      </w:r>
    </w:p>
    <w:p>
      <w:pPr>
        <w:pStyle w:val="Normal"/>
        <w:widowControl/>
        <w:bidi w:val="0"/>
        <w:spacing w:before="120" w:after="600"/>
        <w:jc w:val="both"/>
        <w:rPr/>
      </w:pPr>
      <w:r>
        <w:rPr/>
        <w:tab/>
        <w:tab/>
        <w:tab/>
        <w:tab/>
        <w:tab/>
        <w:tab/>
        <w:t>ENRON CORP.</w:t>
      </w:r>
    </w:p>
    <w:p>
      <w:pPr>
        <w:pStyle w:val="Normal"/>
        <w:widowControl/>
        <w:bidi w:val="0"/>
        <w:jc w:val="both"/>
        <w:rPr/>
      </w:pPr>
      <w:r>
        <w:rPr/>
        <w:tab/>
        <w:tab/>
        <w:tab/>
        <w:tab/>
        <w:tab/>
        <w:tab/>
        <w:t>By:</w:t>
      </w:r>
      <w:r>
        <w:rPr>
          <w:strike/>
        </w:rPr>
        <w:t>_______</w:t>
      </w:r>
      <w:r>
        <w:rPr>
          <w:u w:val="double"/>
        </w:rPr>
        <w:t>_____________________________</w:t>
      </w:r>
    </w:p>
    <w:p>
      <w:pPr>
        <w:pStyle w:val="Normal"/>
        <w:widowControl/>
        <w:bidi w:val="0"/>
        <w:ind w:hanging="0" w:start="4680"/>
        <w:jc w:val="both"/>
        <w:rPr/>
      </w:pPr>
      <w:r>
        <w:rPr/>
        <w:t xml:space="preserve">Name: </w:t>
      </w:r>
    </w:p>
    <w:p>
      <w:pPr>
        <w:pStyle w:val="Normal"/>
        <w:widowControl/>
        <w:bidi w:val="0"/>
        <w:spacing w:before="0" w:after="120"/>
        <w:ind w:hanging="0" w:start="4680"/>
        <w:jc w:val="both"/>
        <w:rPr/>
      </w:pPr>
      <w:r>
        <w:rPr/>
        <w:t xml:space="preserve">Title: </w:t>
      </w:r>
    </w:p>
    <w:p>
      <w:pPr>
        <w:pStyle w:val="Normal"/>
        <w:widowControl/>
        <w:bidi w:val="0"/>
        <w:spacing w:before="0" w:after="120"/>
        <w:jc w:val="both"/>
        <w:rPr/>
      </w:pPr>
      <w:r>
        <w:rPr/>
        <w:tab/>
        <w:tab/>
        <w:tab/>
        <w:tab/>
        <w:tab/>
        <w:tab/>
      </w:r>
    </w:p>
    <w:p>
      <w:pPr>
        <w:pStyle w:val="Normal"/>
        <w:widowControl/>
        <w:bidi w:val="0"/>
        <w:spacing w:before="120" w:after="0"/>
        <w:jc w:val="both"/>
        <w:rPr/>
      </w:pPr>
      <w:r>
        <w:rPr/>
        <w:tab/>
        <w:tab/>
        <w:tab/>
        <w:tab/>
        <w:tab/>
        <w:tab/>
        <w:t xml:space="preserve">UBS WARBURG LLC, </w:t>
      </w:r>
    </w:p>
    <w:p>
      <w:pPr>
        <w:pStyle w:val="Normal"/>
        <w:widowControl/>
        <w:bidi w:val="0"/>
        <w:spacing w:before="0" w:after="600"/>
        <w:jc w:val="both"/>
        <w:rPr/>
      </w:pPr>
      <w:r>
        <w:rPr/>
        <w:tab/>
        <w:tab/>
        <w:tab/>
        <w:tab/>
        <w:tab/>
        <w:tab/>
        <w:t xml:space="preserve"> as Remarketing Agent</w:t>
      </w:r>
    </w:p>
    <w:p>
      <w:pPr>
        <w:pStyle w:val="Normal"/>
        <w:widowControl/>
        <w:bidi w:val="0"/>
        <w:jc w:val="both"/>
        <w:rPr/>
      </w:pPr>
      <w:r>
        <w:rPr/>
        <w:tab/>
        <w:tab/>
        <w:tab/>
        <w:tab/>
        <w:tab/>
        <w:tab/>
        <w:t>By:</w:t>
      </w:r>
      <w:r>
        <w:rPr>
          <w:strike/>
        </w:rPr>
        <w:t>__ ____________________</w:t>
      </w:r>
      <w:r>
        <w:rPr>
          <w:u w:val="double"/>
        </w:rPr>
        <w:t>______________________________</w:t>
      </w:r>
    </w:p>
    <w:p>
      <w:pPr>
        <w:pStyle w:val="Normal"/>
        <w:widowControl/>
        <w:bidi w:val="0"/>
        <w:jc w:val="both"/>
        <w:rPr/>
      </w:pPr>
      <w:r>
        <w:rPr/>
        <w:tab/>
        <w:tab/>
        <w:tab/>
        <w:tab/>
        <w:tab/>
        <w:tab/>
        <w:t xml:space="preserve">            Name: </w:t>
      </w:r>
    </w:p>
    <w:p>
      <w:pPr>
        <w:pStyle w:val="Normal"/>
        <w:widowControl/>
        <w:bidi w:val="0"/>
        <w:spacing w:before="0" w:after="480"/>
        <w:ind w:hanging="0" w:start="4680"/>
        <w:jc w:val="both"/>
        <w:rPr/>
      </w:pPr>
      <w:r>
        <w:rPr/>
        <w:t xml:space="preserve">Title: </w:t>
      </w:r>
    </w:p>
    <w:p>
      <w:pPr>
        <w:pStyle w:val="Normal"/>
        <w:widowControl/>
        <w:bidi w:val="0"/>
        <w:ind w:firstLine="4320"/>
        <w:jc w:val="both"/>
        <w:rPr/>
      </w:pPr>
      <w:r>
        <w:rPr/>
        <w:t>By:</w:t>
      </w:r>
      <w:r>
        <w:rPr>
          <w:strike/>
        </w:rPr>
        <w:t>______________________</w:t>
      </w:r>
      <w:r>
        <w:rPr>
          <w:u w:val="double"/>
        </w:rPr>
        <w:t>_______________________________</w:t>
      </w:r>
    </w:p>
    <w:p>
      <w:pPr>
        <w:pStyle w:val="Normal"/>
        <w:widowControl/>
        <w:bidi w:val="0"/>
        <w:ind w:hanging="0" w:start="4680"/>
        <w:jc w:val="both"/>
        <w:rPr/>
      </w:pPr>
      <w:r>
        <w:rPr/>
        <w:t xml:space="preserve">Name: </w:t>
      </w:r>
    </w:p>
    <w:p>
      <w:pPr>
        <w:pStyle w:val="Normal"/>
        <w:widowControl/>
        <w:bidi w:val="0"/>
        <w:ind w:hanging="0" w:start="4680"/>
        <w:jc w:val="both"/>
        <w:rPr/>
      </w:pPr>
      <w:r>
        <w:rPr/>
        <w:t xml:space="preserve">Title: </w:t>
      </w:r>
    </w:p>
    <w:p>
      <w:pPr>
        <w:pStyle w:val="Normal"/>
        <w:widowControl/>
        <w:bidi w:val="0"/>
        <w:ind w:firstLine="4320"/>
        <w:jc w:val="both"/>
        <w:rPr/>
      </w:pPr>
      <w:r>
        <w:rPr/>
      </w:r>
    </w:p>
    <w:p>
      <w:pPr>
        <w:pStyle w:val="Normal"/>
        <w:widowControl/>
        <w:bidi w:val="0"/>
        <w:spacing w:before="0" w:after="120"/>
        <w:jc w:val="both"/>
        <w:rPr/>
      </w:pPr>
      <w:r>
        <w:rPr/>
        <w:tab/>
        <w:tab/>
      </w:r>
    </w:p>
    <w:p>
      <w:pPr>
        <w:pStyle w:val="Normal"/>
        <w:widowControl/>
        <w:bidi w:val="0"/>
        <w:spacing w:before="0" w:after="120"/>
        <w:jc w:val="both"/>
        <w:rPr/>
      </w:pPr>
      <w:r>
        <w:rPr/>
      </w:r>
    </w:p>
    <w:p>
      <w:pPr>
        <w:pStyle w:val="Normal"/>
        <w:widowControl/>
        <w:bidi w:val="0"/>
        <w:spacing w:before="0" w:after="120"/>
        <w:jc w:val="both"/>
        <w:rPr/>
      </w:pPr>
      <w:r>
        <w:rPr/>
      </w:r>
    </w:p>
    <w:p>
      <w:pPr>
        <w:pStyle w:val="Normal"/>
        <w:widowControl/>
        <w:bidi w:val="0"/>
        <w:spacing w:before="0" w:after="120"/>
        <w:jc w:val="both"/>
        <w:rPr/>
      </w:pPr>
      <w:r>
        <w:rPr/>
      </w:r>
    </w:p>
    <w:p>
      <w:pPr>
        <w:pStyle w:val="Normal"/>
        <w:widowControl/>
        <w:bidi w:val="0"/>
        <w:spacing w:before="120" w:after="0"/>
        <w:jc w:val="both"/>
        <w:rPr/>
      </w:pPr>
      <w:r>
        <w:rPr/>
        <w:t>Acknowledged and agreed as of the</w:t>
      </w:r>
    </w:p>
    <w:p>
      <w:pPr>
        <w:pStyle w:val="Normal"/>
        <w:widowControl/>
        <w:bidi w:val="0"/>
        <w:spacing w:before="0" w:after="120"/>
        <w:jc w:val="both"/>
        <w:rPr/>
      </w:pPr>
      <w:r>
        <w:rPr/>
        <w:t>date and year first above written</w:t>
      </w:r>
    </w:p>
    <w:p>
      <w:pPr>
        <w:pStyle w:val="Normal"/>
        <w:widowControl/>
        <w:bidi w:val="0"/>
        <w:spacing w:before="120" w:after="0"/>
        <w:jc w:val="both"/>
        <w:rPr/>
      </w:pPr>
      <w:r>
        <w:rPr/>
        <w:t xml:space="preserve">UBS AG, LONDON BRANCH, </w:t>
      </w:r>
    </w:p>
    <w:p>
      <w:pPr>
        <w:pStyle w:val="Normal"/>
        <w:widowControl/>
        <w:bidi w:val="0"/>
        <w:spacing w:before="0" w:after="600"/>
        <w:jc w:val="both"/>
        <w:rPr/>
      </w:pPr>
      <w:r>
        <w:rPr/>
        <w:t xml:space="preserve"> </w:t>
      </w:r>
      <w:r>
        <w:rPr/>
        <w:t>as Callholder</w:t>
      </w:r>
    </w:p>
    <w:p>
      <w:pPr>
        <w:pStyle w:val="Normal"/>
        <w:widowControl/>
        <w:bidi w:val="0"/>
        <w:jc w:val="both"/>
        <w:rPr>
          <w:u w:val="single"/>
        </w:rPr>
      </w:pPr>
      <w:r>
        <w:rPr/>
        <w:t>By:</w:t>
      </w:r>
      <w:r>
        <w:rPr>
          <w:strike/>
        </w:rPr>
        <w:t>_____________</w:t>
      </w:r>
      <w:r>
        <w:rPr>
          <w:u w:val="double"/>
        </w:rPr>
        <w:t>_____________________________</w:t>
      </w:r>
    </w:p>
    <w:p>
      <w:pPr>
        <w:pStyle w:val="Normal"/>
        <w:widowControl/>
        <w:tabs>
          <w:tab w:val="clear" w:pos="720"/>
          <w:tab w:val="left" w:pos="360" w:leader="none"/>
        </w:tabs>
        <w:bidi w:val="0"/>
        <w:jc w:val="both"/>
        <w:rPr/>
      </w:pPr>
      <w:r>
        <w:rPr/>
        <w:tab/>
        <w:t xml:space="preserve">Name: </w:t>
      </w:r>
    </w:p>
    <w:p>
      <w:pPr>
        <w:pStyle w:val="Normal"/>
        <w:widowControl/>
        <w:tabs>
          <w:tab w:val="clear" w:pos="720"/>
          <w:tab w:val="left" w:pos="360" w:leader="none"/>
        </w:tabs>
        <w:bidi w:val="0"/>
        <w:spacing w:before="0" w:after="600"/>
        <w:jc w:val="both"/>
        <w:rPr/>
      </w:pPr>
      <w:r>
        <w:rPr/>
        <w:tab/>
        <w:t xml:space="preserve">Title: </w:t>
      </w:r>
    </w:p>
    <w:p>
      <w:pPr>
        <w:pStyle w:val="Normal"/>
        <w:widowControl/>
        <w:bidi w:val="0"/>
        <w:jc w:val="both"/>
        <w:rPr/>
      </w:pPr>
      <w:r>
        <w:rPr/>
        <w:t>By:</w:t>
      </w:r>
      <w:r>
        <w:rPr>
          <w:strike/>
        </w:rPr>
        <w:t>__________</w:t>
      </w:r>
      <w:r>
        <w:rPr>
          <w:u w:val="double"/>
        </w:rPr>
        <w:t>_____________________________</w:t>
      </w:r>
    </w:p>
    <w:p>
      <w:pPr>
        <w:pStyle w:val="Normal"/>
        <w:widowControl/>
        <w:bidi w:val="0"/>
        <w:jc w:val="both"/>
        <w:rPr/>
      </w:pPr>
      <w:r>
        <w:rPr/>
        <w:t xml:space="preserve">            </w:t>
      </w:r>
      <w:r>
        <w:rPr/>
        <w:t xml:space="preserve">Name: </w:t>
      </w:r>
    </w:p>
    <w:p>
      <w:pPr>
        <w:pStyle w:val="Normal"/>
        <w:widowControl/>
        <w:tabs>
          <w:tab w:val="clear" w:pos="720"/>
          <w:tab w:val="left" w:pos="360" w:leader="none"/>
        </w:tabs>
        <w:bidi w:val="0"/>
        <w:jc w:val="both"/>
        <w:rPr/>
      </w:pPr>
      <w:r>
        <w:rPr/>
        <w:tab/>
        <w:t xml:space="preserve">Title: </w:t>
      </w:r>
    </w:p>
    <w:p>
      <w:pPr>
        <w:pStyle w:val="Normal"/>
        <w:widowControl/>
        <w:bidi w:val="0"/>
        <w:jc w:val="start"/>
        <w:rPr/>
      </w:pPr>
      <w:r>
        <w:rPr/>
      </w:r>
    </w:p>
    <w:p>
      <w:pPr>
        <w:pStyle w:val="Normal"/>
        <w:widowControl/>
        <w:bidi w:val="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5/21/00</w:t>
      </w:r>
      <w:r>
        <w:rPr/>
        <w:t xml:space="preserve"> </w:t>
      </w:r>
      <w:r>
        <w:rPr>
          <w:u w:val="double"/>
        </w:rPr>
        <w:t>5/30/00</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13</w:t>
      </w:r>
    </w:p>
    <w:p>
      <w:pPr>
        <w:pStyle w:val="Normal"/>
        <w:bidi w:val="0"/>
        <w:jc w:val="start"/>
        <w:rPr/>
      </w:pPr>
      <w:r>
        <w:rPr>
          <w:strike/>
        </w:rPr>
        <w:t>63236060.03</w:t>
      </w:r>
      <w:r>
        <w:rPr/>
        <w:t xml:space="preserve"> </w:t>
      </w:r>
      <w:r>
        <w:rPr>
          <w:u w:val="double"/>
        </w:rPr>
        <w:t>63236060.04</w:t>
      </w:r>
    </w:p>
    <w:p>
      <w:pPr>
        <w:pStyle w:val="Normal"/>
        <w:bidi w:val="0"/>
        <w:jc w:val="start"/>
        <w:rPr/>
      </w:pPr>
      <w:r>
        <w:rPr/>
      </w:r>
    </w:p>
    <w:p>
      <w:pPr>
        <w:pStyle w:val="Normal"/>
        <w:bidi w:val="0"/>
        <w:jc w:val="start"/>
        <w:rPr/>
      </w:pPr>
      <w:r>
        <w:rPr/>
        <w:t>-FOOTER 2-</w:t>
      </w:r>
    </w:p>
    <w:p>
      <w:pPr>
        <w:pStyle w:val="Normal"/>
        <w:bidi w:val="0"/>
        <w:jc w:val="start"/>
        <w:rPr/>
      </w:pPr>
      <w:r>
        <w:rPr/>
        <w:t>13</w:t>
      </w:r>
    </w:p>
    <w:p>
      <w:pPr>
        <w:pStyle w:val="Normal"/>
        <w:bidi w:val="0"/>
        <w:jc w:val="start"/>
        <w:rPr/>
      </w:pPr>
      <w:r>
        <w:rPr>
          <w:strike/>
        </w:rPr>
        <w:t>63236060.01</w:t>
      </w:r>
      <w:r>
        <w:rPr/>
        <w:t xml:space="preserve"> </w:t>
      </w:r>
      <w:r>
        <w:rPr>
          <w:u w:val="double"/>
        </w:rPr>
        <w:t>63236060.02</w:t>
      </w:r>
    </w:p>
    <w:p>
      <w:pPr>
        <w:pStyle w:val="Normal"/>
        <w:bidi w:val="0"/>
        <w:jc w:val="start"/>
        <w:rPr/>
      </w:pPr>
      <w:r>
        <w:rPr/>
      </w:r>
    </w:p>
    <w:p>
      <w:pPr>
        <w:pStyle w:val="Normal"/>
        <w:bidi w:val="0"/>
        <w:jc w:val="start"/>
        <w:rPr/>
      </w:pPr>
      <w:r>
        <w:rPr/>
        <w:t>-FOOTER 3-</w:t>
      </w:r>
    </w:p>
    <w:p>
      <w:pPr>
        <w:pStyle w:val="Normal"/>
        <w:bidi w:val="0"/>
        <w:jc w:val="start"/>
        <w:rPr/>
      </w:pPr>
      <w:r>
        <w:rPr>
          <w:strike/>
        </w:rPr>
        <w:t>63236060.01</w:t>
      </w:r>
      <w:r>
        <w:rPr/>
        <w:t xml:space="preserve"> </w:t>
      </w:r>
      <w:r>
        <w:rPr>
          <w:u w:val="double"/>
        </w:rPr>
        <w:t>63236060.02</w:t>
      </w:r>
    </w:p>
    <w:p>
      <w:pPr>
        <w:pStyle w:val="Normal"/>
        <w:bidi w:val="0"/>
        <w:jc w:val="start"/>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63236060.02</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63236060.02</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18</w:t>
    </w:r>
    <w:r>
      <w:rPr>
        <w:sz w:val="20"/>
        <w:lang w:val="en-CA"/>
      </w:rPr>
      <w:fldChar w:fldCharType="end"/>
    </w:r>
  </w:p>
  <w:p>
    <w:pPr>
      <w:pStyle w:val="DocID"/>
      <w:widowControl/>
      <w:bidi w:val="0"/>
      <w:jc w:val="start"/>
      <w:rPr/>
    </w:pPr>
    <w:r>
      <w:rPr/>
      <w:t>63236060.02</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63236060.02</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5/30/00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5/30/00</w:t>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ms Rmn"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b/>
      <w:caps/>
      <w:color w:val="0000FF"/>
      <w:kern w:val="2"/>
      <w:u w:val="single"/>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widowControl w:val="false"/>
      <w:spacing w:before="0" w:after="360"/>
      <w:jc w:val="center"/>
    </w:pPr>
    <w:rPr>
      <w:caps/>
      <w:color w:val="0000FF"/>
    </w:rPr>
  </w:style>
  <w:style w:type="paragraph" w:styleId="SchedHead">
    <w:name w:val="SchedHead"/>
    <w:basedOn w:val="Normal"/>
    <w:qFormat/>
    <w:pPr>
      <w:widowControl w:val="false"/>
      <w:spacing w:before="0" w:after="360"/>
      <w:jc w:val="end"/>
    </w:pPr>
    <w:rPr>
      <w:color w:val="0000FF"/>
    </w:rPr>
  </w:style>
  <w:style w:type="paragraph" w:styleId="TOC1">
    <w:name w:val="toc 1"/>
    <w:basedOn w:val="Normal"/>
    <w:next w:val="Normal"/>
    <w:autoRedefine/>
    <w:pPr>
      <w:keepLines/>
      <w:widowControl w:val="false"/>
      <w:tabs>
        <w:tab w:val="clear" w:pos="720"/>
        <w:tab w:val="right" w:pos="9360" w:leader="dot"/>
      </w:tabs>
      <w:spacing w:before="360" w:after="240"/>
      <w:jc w:val="center"/>
    </w:pPr>
    <w:rPr>
      <w:caps/>
    </w:rPr>
  </w:style>
  <w:style w:type="paragraph" w:styleId="TOC2">
    <w:name w:val="toc 2"/>
    <w:basedOn w:val="Normal"/>
    <w:next w:val="Normal"/>
    <w:autoRedefine/>
    <w:pPr>
      <w:keepLines/>
      <w:widowControl w:val="false"/>
      <w:tabs>
        <w:tab w:val="clear" w:pos="720"/>
        <w:tab w:val="right" w:pos="9346" w:leader="dot"/>
      </w:tabs>
      <w:spacing w:before="6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DocID">
    <w:name w:val="DocID"/>
    <w:next w:val="Normal"/>
    <w:qFormat/>
    <w:pPr>
      <w:widowControl w:val="false"/>
      <w:bidi w:val="0"/>
    </w:pPr>
    <w:rPr>
      <w:rFonts w:ascii="Times New Roman" w:hAnsi="Times New Roman" w:eastAsia="Tms Rmn" w:cs="Tahoma"/>
      <w:color w:val="auto"/>
      <w:kern w:val="2"/>
      <w:sz w:val="16"/>
      <w:szCs w:val="24"/>
      <w:lang w:val="en-CA" w:eastAsia="zh-CN" w:bidi="hi-IN"/>
    </w:rPr>
  </w:style>
  <w:style w:type="paragraph" w:styleId="FootnoteText">
    <w:name w:val="footnote text"/>
    <w:basedOn w:val="Normal"/>
    <w:pPr>
      <w:widowControl w:val="false"/>
      <w:spacing w:before="60" w:after="0"/>
      <w:ind w:hanging="180" w:start="180"/>
    </w:pPr>
    <w:rPr>
      <w:sz w:val="20"/>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PlainText">
    <w:name w:val="Plain Text"/>
    <w:basedOn w:val="Normal"/>
    <w:qFormat/>
    <w:pPr>
      <w:widowControl w:val="false"/>
    </w:pPr>
    <w:rPr>
      <w:rFonts w:ascii="Courier New" w:hAnsi="Courier New"/>
      <w:sz w:val="20"/>
    </w:rPr>
  </w:style>
  <w:style w:type="paragraph" w:styleId="BodyTextFirstIndent">
    <w:name w:val="Body Text First Indent"/>
    <w:basedOn w:val="BodyText"/>
    <w:pPr>
      <w:widowControl w:val="false"/>
      <w:spacing w:before="0" w:after="240"/>
      <w:ind w:firstLine="1440"/>
    </w:pPr>
    <w:rPr/>
  </w:style>
  <w:style w:type="paragraph" w:styleId="BodyTextIndent2">
    <w:name w:val="Body Text Indent 2"/>
    <w:basedOn w:val="Normal"/>
    <w:qFormat/>
    <w:pPr>
      <w:widowControl w:val="false"/>
      <w:tabs>
        <w:tab w:val="left" w:pos="720" w:leader="none"/>
      </w:tabs>
      <w:ind w:hanging="1440" w:start="1440"/>
    </w:pPr>
    <w:rPr/>
  </w:style>
  <w:style w:type="paragraph" w:styleId="DocumentMap">
    <w:name w:val="Document Map"/>
    <w:basedOn w:val="Normal"/>
    <w:qFormat/>
    <w:pPr>
      <w:widowControl w:val="false"/>
      <w:shd w:fill="000080"/>
    </w:pPr>
    <w:rPr>
      <w:rFonts w:ascii="Tahoma" w:hAnsi="Tahoma"/>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8078</Words>
  <Characters>56550</Characters>
  <CharactersWithSpaces>41201</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2000-05-31T09:03:00Z</dcterms:created>
  <dc:creator>Winthrop, Stimson, Putnam &amp; Roberts</dc:creator>
  <dc:description/>
  <cp:keywords>63236060.RED</cp:keywords>
  <dc:language>en-CA</dc:language>
  <cp:lastModifiedBy/>
  <cp:lastPrinted>2000-05-30T17:06:00Z</cp:lastPrinted>
  <dcterms:modified xsi:type="dcterms:W3CDTF">2000-05-31T09:03:00Z</dcterms:modified>
  <cp:revision>2</cp:revision>
  <dc:subject>v 1.0 Updates: ABCDEFG</dc:subject>
  <dc:title>CALCULATION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