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kern w:val="2"/>
          <w:u w:val="single"/>
        </w:rPr>
      </w:pPr>
      <w:r>
        <w:rPr>
          <w:b/>
          <w:kern w:val="2"/>
          <w:u w:val="single"/>
        </w:rPr>
        <w:t xml:space="preserve">REQUEST </w:t>
      </w:r>
    </w:p>
    <w:p>
      <w:pPr>
        <w:pStyle w:val="Normal"/>
        <w:rPr>
          <w:b/>
          <w:kern w:val="2"/>
          <w:u w:val="single"/>
        </w:rPr>
      </w:pPr>
      <w:r>
        <w:rPr>
          <w:b/>
          <w:kern w:val="2"/>
          <w:u w:val="single"/>
        </w:rPr>
      </w:r>
    </w:p>
    <w:p>
      <w:pPr>
        <w:pStyle w:val="Normal"/>
        <w:rPr>
          <w:i/>
          <w:i/>
          <w:kern w:val="2"/>
        </w:rPr>
      </w:pPr>
      <w:r>
        <w:rPr>
          <w:i/>
          <w:kern w:val="2"/>
        </w:rPr>
        <w:t>For each generating unit, please explain how the heat rate data submitted to the CAISO was derived.</w:t>
      </w:r>
    </w:p>
    <w:p>
      <w:pPr>
        <w:pStyle w:val="Normal"/>
        <w:rPr>
          <w:i/>
          <w:i/>
          <w:kern w:val="2"/>
        </w:rPr>
      </w:pPr>
      <w:r>
        <w:rPr>
          <w:i/>
          <w:kern w:val="2"/>
        </w:rPr>
      </w:r>
    </w:p>
    <w:p>
      <w:pPr>
        <w:pStyle w:val="Normal"/>
        <w:ind w:hanging="360" w:start="720" w:end="0"/>
        <w:rPr>
          <w:i/>
          <w:i/>
          <w:kern w:val="2"/>
        </w:rPr>
      </w:pPr>
      <w:r>
        <w:rPr>
          <w:i/>
          <w:kern w:val="2"/>
        </w:rPr>
        <w:t>a)  Were careful measurements made at each reported generation level using special instrumentation?</w:t>
      </w:r>
    </w:p>
    <w:p>
      <w:pPr>
        <w:pStyle w:val="Normal"/>
        <w:ind w:hanging="360" w:start="720" w:end="0"/>
        <w:rPr>
          <w:i/>
          <w:i/>
          <w:kern w:val="2"/>
        </w:rPr>
      </w:pPr>
      <w:r>
        <w:rPr>
          <w:i/>
          <w:kern w:val="2"/>
        </w:rPr>
      </w:r>
    </w:p>
    <w:p>
      <w:pPr>
        <w:pStyle w:val="Normal"/>
        <w:ind w:hanging="360" w:start="720" w:end="0"/>
        <w:rPr>
          <w:i/>
          <w:i/>
          <w:kern w:val="2"/>
        </w:rPr>
      </w:pPr>
      <w:r>
        <w:rPr>
          <w:i/>
          <w:kern w:val="2"/>
        </w:rPr>
        <w:t>b)  Were measurements made at each reported generation level using the regular station instrumentation?</w:t>
      </w:r>
    </w:p>
    <w:p>
      <w:pPr>
        <w:pStyle w:val="Normal"/>
        <w:ind w:hanging="360" w:start="720" w:end="0"/>
        <w:rPr>
          <w:i/>
          <w:i/>
          <w:kern w:val="2"/>
        </w:rPr>
      </w:pPr>
      <w:r>
        <w:rPr>
          <w:i/>
          <w:kern w:val="2"/>
        </w:rPr>
      </w:r>
    </w:p>
    <w:p>
      <w:pPr>
        <w:pStyle w:val="Normal"/>
        <w:ind w:hanging="360" w:start="720" w:end="0"/>
        <w:rPr>
          <w:i/>
          <w:i/>
          <w:kern w:val="2"/>
        </w:rPr>
      </w:pPr>
      <w:r>
        <w:rPr>
          <w:i/>
          <w:kern w:val="2"/>
        </w:rPr>
        <w:t>c)  Were polynomial or exponential heat rate curves developed for the unit and the heat rate data submitted to the CAISO obtained from those equations?</w:t>
      </w:r>
    </w:p>
    <w:p>
      <w:pPr>
        <w:pStyle w:val="Normal"/>
        <w:rPr>
          <w:i/>
          <w:i/>
          <w:kern w:val="2"/>
        </w:rPr>
      </w:pPr>
      <w:r>
        <w:rPr>
          <w:i/>
          <w:kern w:val="2"/>
        </w:rPr>
      </w:r>
    </w:p>
    <w:p>
      <w:pPr>
        <w:pStyle w:val="Normal"/>
        <w:rPr>
          <w:b/>
          <w:kern w:val="2"/>
          <w:u w:val="single"/>
        </w:rPr>
      </w:pPr>
      <w:r>
        <w:rPr>
          <w:b/>
          <w:kern w:val="2"/>
          <w:u w:val="single"/>
        </w:rPr>
        <w:t xml:space="preserve">RESPONSE </w:t>
      </w:r>
    </w:p>
    <w:p>
      <w:pPr>
        <w:pStyle w:val="Normal"/>
        <w:rPr>
          <w:b/>
          <w:kern w:val="2"/>
          <w:u w:val="single"/>
        </w:rPr>
      </w:pPr>
      <w:r>
        <w:rPr>
          <w:b/>
          <w:kern w:val="2"/>
          <w:u w:val="single"/>
        </w:rPr>
      </w:r>
    </w:p>
    <w:p>
      <w:pPr>
        <w:pStyle w:val="Normal"/>
        <w:tabs>
          <w:tab w:val="left" w:pos="720" w:leader="none"/>
        </w:tabs>
        <w:ind w:hanging="720" w:start="720" w:end="0"/>
        <w:rPr>
          <w:kern w:val="2"/>
        </w:rPr>
      </w:pPr>
      <w:r>
        <w:rPr>
          <w:kern w:val="2"/>
        </w:rPr>
        <w:t>a)</w:t>
        <w:tab/>
        <w:t>The heat rates Reliant submitted to the CAISO for Reliant’s steam units were the heat rates provided to Reliant by Southern California Edison (“SCE”) during Reliant’s acquisition of these generating units from SCE, and were the same as those used by Reliant’s dispatchers during the Refund Period.  The heat rates for Reliant’s peaking units were the heat rates that were used during the Refund Period by Reliant’s dispatchers, adjusted for Generation Meter Multipliers.  The heat rates for Etiwanda Unit 5, like the heat rates for the steam units, came from SCE during the acquisition.  The heat rates for Mandalay Unit 3 are the original design heat rates for the unit and were likewise provided by SCE at the time of Reliant’s acquisition.  The heat rates for the Ellwood peaking facility are based on post-installation test data provided to Reliant by SCE.  Reliant cannot address or characterize the nature of SCE’s measurement of the units’ heat rates.</w:t>
      </w:r>
    </w:p>
    <w:p>
      <w:pPr>
        <w:pStyle w:val="Normal"/>
        <w:tabs>
          <w:tab w:val="left" w:pos="720" w:leader="none"/>
        </w:tabs>
        <w:ind w:hanging="720" w:start="720" w:end="0"/>
        <w:rPr>
          <w:kern w:val="2"/>
        </w:rPr>
      </w:pPr>
      <w:r>
        <w:rPr>
          <w:kern w:val="2"/>
        </w:rPr>
      </w:r>
    </w:p>
    <w:p>
      <w:pPr>
        <w:pStyle w:val="Normal"/>
        <w:ind w:hanging="720" w:start="720" w:end="0"/>
        <w:rPr>
          <w:kern w:val="2"/>
        </w:rPr>
      </w:pPr>
      <w:r>
        <w:rPr>
          <w:kern w:val="2"/>
        </w:rPr>
        <w:t>b)</w:t>
        <w:tab/>
        <w:t>Please see the response to question a).</w:t>
      </w:r>
    </w:p>
    <w:p>
      <w:pPr>
        <w:pStyle w:val="Normal"/>
        <w:ind w:hanging="720" w:start="720" w:end="0"/>
        <w:rPr>
          <w:kern w:val="2"/>
        </w:rPr>
      </w:pPr>
      <w:r>
        <w:rPr>
          <w:kern w:val="2"/>
        </w:rPr>
      </w:r>
    </w:p>
    <w:p>
      <w:pPr>
        <w:pStyle w:val="Normal"/>
        <w:ind w:hanging="720" w:start="720" w:end="0"/>
        <w:rPr/>
      </w:pPr>
      <w:r>
        <w:rPr>
          <w:kern w:val="2"/>
        </w:rPr>
        <w:t>c)</w:t>
        <w:tab/>
        <w:t xml:space="preserve">The heat rate curves provided by SCE were exponential equations of the form </w:t>
      </w:r>
      <w:r>
        <w:rPr/>
        <w:t>A1 + A2</w:t>
      </w:r>
      <w:r>
        <w:rPr>
          <w:rFonts w:eastAsia="Symbol" w:cs="Symbol" w:ascii="Symbol" w:hAnsi="Symbol"/>
        </w:rPr>
        <w:sym w:font="Symbol" w:char="f0b4"/>
      </w:r>
      <w:r>
        <w:rPr/>
        <w:t>(MW) + A3</w:t>
      </w:r>
      <w:r>
        <w:rPr>
          <w:rFonts w:eastAsia="Symbol" w:cs="Symbol" w:ascii="Symbol" w:hAnsi="Symbol"/>
        </w:rPr>
        <w:sym w:font="Symbol" w:char="f0b4"/>
      </w:r>
      <w:r>
        <w:rPr/>
        <w:t>exp(A4</w:t>
      </w:r>
      <w:r>
        <w:rPr>
          <w:rFonts w:eastAsia="Symbol" w:cs="Symbol" w:ascii="Symbol" w:hAnsi="Symbol"/>
        </w:rPr>
        <w:sym w:font="Symbol" w:char="f0b4"/>
      </w:r>
      <w:r>
        <w:rPr/>
        <w:t>MW)</w:t>
      </w:r>
      <w:r>
        <w:rPr>
          <w:kern w:val="2"/>
        </w:rPr>
        <w:t>, where MW is the generation quantity for which the fuel consumption is to be determined.</w:t>
      </w:r>
    </w:p>
    <w:p>
      <w:pPr>
        <w:pStyle w:val="Normal"/>
        <w:rPr>
          <w:kern w:val="2"/>
        </w:rPr>
      </w:pPr>
      <w:r>
        <w:rPr>
          <w:kern w:val="2"/>
        </w:rPr>
      </w:r>
    </w:p>
    <w:p>
      <w:pPr>
        <w:pStyle w:val="Normal"/>
        <w:rPr>
          <w:b/>
          <w:kern w:val="2"/>
          <w:u w:val="single"/>
        </w:rPr>
      </w:pPr>
      <w:r>
        <w:rPr>
          <w:b/>
          <w:kern w:val="2"/>
          <w:u w:val="single"/>
        </w:rPr>
        <w:t>ATTACHMENTS</w:t>
      </w:r>
    </w:p>
    <w:p>
      <w:pPr>
        <w:pStyle w:val="Normal"/>
        <w:rPr>
          <w:b/>
          <w:kern w:val="2"/>
          <w:u w:val="single"/>
        </w:rPr>
      </w:pPr>
      <w:r>
        <w:rPr>
          <w:b/>
          <w:kern w:val="2"/>
          <w:u w:val="single"/>
        </w:rPr>
      </w:r>
    </w:p>
    <w:p>
      <w:pPr>
        <w:sectPr>
          <w:headerReference w:type="default" r:id="rId2"/>
          <w:headerReference w:type="first" r:id="rId3"/>
          <w:footerReference w:type="default" r:id="rId4"/>
          <w:footerReference w:type="first" r:id="rId5"/>
          <w:type w:val="nextPage"/>
          <w:pgSz w:w="12240" w:h="15840"/>
          <w:pgMar w:left="1800" w:right="1800" w:gutter="0" w:header="720" w:top="1440" w:footer="720" w:bottom="1440"/>
          <w:pgNumType w:fmt="decimal"/>
          <w:formProt w:val="false"/>
          <w:titlePg/>
          <w:textDirection w:val="lrTb"/>
          <w:docGrid w:type="default" w:linePitch="360" w:charSpace="0"/>
        </w:sectPr>
        <w:pStyle w:val="Normal"/>
        <w:rPr>
          <w:kern w:val="2"/>
        </w:rPr>
      </w:pPr>
      <w:r>
        <w:rPr>
          <w:kern w:val="2"/>
        </w:rPr>
        <w:t>None.</w:t>
      </w:r>
    </w:p>
    <w:p>
      <w:pPr>
        <w:pStyle w:val="Normal"/>
        <w:rPr>
          <w:b/>
          <w:kern w:val="2"/>
          <w:u w:val="single"/>
        </w:rPr>
      </w:pPr>
      <w:r>
        <w:rPr>
          <w:b/>
          <w:kern w:val="2"/>
          <w:u w:val="single"/>
        </w:rPr>
        <w:t xml:space="preserve">REQUEST </w:t>
      </w:r>
    </w:p>
    <w:p>
      <w:pPr>
        <w:pStyle w:val="Normal"/>
        <w:rPr>
          <w:b/>
          <w:kern w:val="2"/>
          <w:u w:val="single"/>
        </w:rPr>
      </w:pPr>
      <w:r>
        <w:rPr>
          <w:b/>
          <w:kern w:val="2"/>
          <w:u w:val="single"/>
        </w:rPr>
      </w:r>
    </w:p>
    <w:p>
      <w:pPr>
        <w:pStyle w:val="Normal"/>
        <w:ind w:hanging="720" w:start="720" w:end="0"/>
        <w:rPr>
          <w:i/>
          <w:i/>
          <w:kern w:val="2"/>
        </w:rPr>
      </w:pPr>
      <w:r>
        <w:rPr>
          <w:i/>
          <w:kern w:val="2"/>
        </w:rPr>
        <w:t xml:space="preserve">a)  </w:t>
        <w:tab/>
        <w:t xml:space="preserve">For each generating unit for which the heat rate data submitted to the CAISO was obtained from the unit's RMR contract, please provide a copy of the heat rate pages of the RMR contact from which the heat rate data was obtained. </w:t>
      </w:r>
    </w:p>
    <w:p>
      <w:pPr>
        <w:pStyle w:val="Normal"/>
        <w:ind w:hanging="720" w:start="720" w:end="0"/>
        <w:rPr>
          <w:i/>
          <w:i/>
          <w:kern w:val="2"/>
        </w:rPr>
      </w:pPr>
      <w:r>
        <w:rPr>
          <w:i/>
          <w:kern w:val="2"/>
        </w:rPr>
      </w:r>
    </w:p>
    <w:p>
      <w:pPr>
        <w:pStyle w:val="Normal"/>
        <w:ind w:hanging="720" w:start="720" w:end="0"/>
        <w:rPr>
          <w:i/>
          <w:i/>
          <w:kern w:val="2"/>
        </w:rPr>
      </w:pPr>
      <w:r>
        <w:rPr>
          <w:i/>
          <w:kern w:val="2"/>
        </w:rPr>
        <w:t xml:space="preserve">b)  </w:t>
        <w:tab/>
        <w:t>If a generating unit's heat rate data was obtained from its RMR contract and was modified in any way, please explain the basis for the modification.</w:t>
      </w:r>
    </w:p>
    <w:p>
      <w:pPr>
        <w:pStyle w:val="Normal"/>
        <w:ind w:hanging="720" w:start="720" w:end="0"/>
        <w:rPr>
          <w:i/>
          <w:i/>
          <w:kern w:val="2"/>
        </w:rPr>
      </w:pPr>
      <w:r>
        <w:rPr>
          <w:i/>
          <w:kern w:val="2"/>
        </w:rPr>
      </w:r>
    </w:p>
    <w:p>
      <w:pPr>
        <w:pStyle w:val="Normal"/>
        <w:ind w:hanging="720" w:start="720" w:end="0"/>
        <w:rPr>
          <w:i/>
          <w:i/>
          <w:kern w:val="2"/>
        </w:rPr>
      </w:pPr>
      <w:r>
        <w:rPr>
          <w:i/>
          <w:kern w:val="2"/>
        </w:rPr>
        <w:t xml:space="preserve">c)  </w:t>
        <w:tab/>
        <w:t>If in accordance with the heat rate methodology in the RMR pro-forma contract, the heat rates submitted to the CAISO were inflated by 2%, please explain why it is reasonable to use inflated heat rates to calculate MMCPs in this proceeding.</w:t>
      </w:r>
    </w:p>
    <w:p>
      <w:pPr>
        <w:pStyle w:val="Normal"/>
        <w:rPr>
          <w:i/>
          <w:i/>
          <w:kern w:val="2"/>
        </w:rPr>
      </w:pPr>
      <w:r>
        <w:rPr>
          <w:i/>
          <w:kern w:val="2"/>
        </w:rPr>
      </w:r>
    </w:p>
    <w:p>
      <w:pPr>
        <w:pStyle w:val="Normal"/>
        <w:rPr>
          <w:b/>
          <w:kern w:val="2"/>
          <w:u w:val="single"/>
        </w:rPr>
      </w:pPr>
      <w:r>
        <w:rPr>
          <w:b/>
          <w:kern w:val="2"/>
          <w:u w:val="single"/>
        </w:rPr>
        <w:t xml:space="preserve">RESPONSE </w:t>
      </w:r>
    </w:p>
    <w:p>
      <w:pPr>
        <w:pStyle w:val="Normal"/>
        <w:rPr>
          <w:b/>
          <w:kern w:val="2"/>
          <w:u w:val="single"/>
        </w:rPr>
      </w:pPr>
      <w:r>
        <w:rPr>
          <w:b/>
          <w:kern w:val="2"/>
          <w:u w:val="single"/>
        </w:rPr>
      </w:r>
    </w:p>
    <w:p>
      <w:pPr>
        <w:pStyle w:val="Normal"/>
        <w:rPr>
          <w:kern w:val="2"/>
        </w:rPr>
      </w:pPr>
      <w:r>
        <w:rPr>
          <w:kern w:val="2"/>
        </w:rPr>
        <w:t>Reliant did not have any RMR contracts in place during the Refund Period, and the heat rate data submitted to the CAISO were not obtained from prior RMR contracts.  For the source of Reliant’s heat-rate data submittal, please see Reliant’s response to STAFF/GEN-32</w:t>
      </w:r>
    </w:p>
    <w:p>
      <w:pPr>
        <w:pStyle w:val="Normal"/>
        <w:rPr>
          <w:kern w:val="2"/>
        </w:rPr>
      </w:pPr>
      <w:r>
        <w:rPr>
          <w:kern w:val="2"/>
        </w:rPr>
      </w:r>
    </w:p>
    <w:p>
      <w:pPr>
        <w:pStyle w:val="Normal"/>
        <w:rPr>
          <w:b/>
          <w:kern w:val="2"/>
          <w:u w:val="single"/>
        </w:rPr>
      </w:pPr>
      <w:r>
        <w:rPr>
          <w:b/>
          <w:kern w:val="2"/>
          <w:u w:val="single"/>
        </w:rPr>
        <w:t xml:space="preserve">ATTACHMENTS </w:t>
      </w:r>
    </w:p>
    <w:p>
      <w:pPr>
        <w:pStyle w:val="Normal"/>
        <w:rPr>
          <w:b/>
          <w:kern w:val="2"/>
          <w:u w:val="single"/>
        </w:rPr>
      </w:pPr>
      <w:r>
        <w:rPr>
          <w:b/>
          <w:kern w:val="2"/>
          <w:u w:val="single"/>
        </w:rPr>
      </w:r>
    </w:p>
    <w:p>
      <w:pPr>
        <w:sectPr>
          <w:headerReference w:type="default" r:id="rId6"/>
          <w:headerReference w:type="first" r:id="rId7"/>
          <w:footerReference w:type="default" r:id="rId8"/>
          <w:footerReference w:type="first" r:id="rId9"/>
          <w:type w:val="nextPage"/>
          <w:pgSz w:w="12240" w:h="15840"/>
          <w:pgMar w:left="1800" w:right="1800" w:gutter="0" w:header="720" w:top="1440" w:footer="720" w:bottom="1440"/>
          <w:pgNumType w:fmt="decimal"/>
          <w:formProt w:val="false"/>
          <w:titlePg/>
          <w:textDirection w:val="lrTb"/>
          <w:docGrid w:type="default" w:linePitch="360" w:charSpace="0"/>
        </w:sectPr>
        <w:pStyle w:val="Normal"/>
        <w:rPr>
          <w:kern w:val="2"/>
        </w:rPr>
      </w:pPr>
      <w:r>
        <w:rPr>
          <w:kern w:val="2"/>
        </w:rPr>
        <w:t>None.</w:t>
      </w:r>
    </w:p>
    <w:p>
      <w:pPr>
        <w:pStyle w:val="Normal"/>
        <w:rPr>
          <w:b/>
          <w:kern w:val="2"/>
          <w:u w:val="single"/>
        </w:rPr>
      </w:pPr>
      <w:r>
        <w:rPr>
          <w:b/>
          <w:kern w:val="2"/>
          <w:u w:val="single"/>
        </w:rPr>
        <w:t xml:space="preserve">REQUEST </w:t>
      </w:r>
    </w:p>
    <w:p>
      <w:pPr>
        <w:pStyle w:val="Normal"/>
        <w:rPr>
          <w:b/>
          <w:kern w:val="2"/>
          <w:u w:val="single"/>
        </w:rPr>
      </w:pPr>
      <w:r>
        <w:rPr>
          <w:b/>
          <w:kern w:val="2"/>
          <w:u w:val="single"/>
        </w:rPr>
      </w:r>
    </w:p>
    <w:p>
      <w:pPr>
        <w:pStyle w:val="Normal"/>
        <w:rPr>
          <w:i/>
          <w:i/>
          <w:kern w:val="2"/>
        </w:rPr>
      </w:pPr>
      <w:r>
        <w:rPr>
          <w:i/>
          <w:kern w:val="2"/>
        </w:rPr>
        <w:t>If only one set of heat rate data was supplied to the CAISO for a unit, please explain why that data gives reasonable results throughout the year, i.e., why were seasonal heat rate data not supplied?</w:t>
      </w:r>
    </w:p>
    <w:p>
      <w:pPr>
        <w:pStyle w:val="Normal"/>
        <w:rPr>
          <w:i/>
          <w:i/>
          <w:kern w:val="2"/>
        </w:rPr>
      </w:pPr>
      <w:r>
        <w:rPr>
          <w:i/>
          <w:kern w:val="2"/>
        </w:rPr>
      </w:r>
    </w:p>
    <w:p>
      <w:pPr>
        <w:pStyle w:val="Normal"/>
        <w:rPr>
          <w:b/>
          <w:kern w:val="2"/>
          <w:u w:val="single"/>
        </w:rPr>
      </w:pPr>
      <w:r>
        <w:rPr>
          <w:b/>
          <w:kern w:val="2"/>
          <w:u w:val="single"/>
        </w:rPr>
        <w:t xml:space="preserve">RESPONSE </w:t>
      </w:r>
    </w:p>
    <w:p>
      <w:pPr>
        <w:pStyle w:val="Normal"/>
        <w:rPr>
          <w:b/>
          <w:kern w:val="2"/>
          <w:u w:val="single"/>
        </w:rPr>
      </w:pPr>
      <w:r>
        <w:rPr>
          <w:b/>
          <w:kern w:val="2"/>
          <w:u w:val="single"/>
        </w:rPr>
      </w:r>
    </w:p>
    <w:p>
      <w:pPr>
        <w:pStyle w:val="Normal"/>
        <w:rPr>
          <w:kern w:val="2"/>
        </w:rPr>
      </w:pPr>
      <w:r>
        <w:rPr>
          <w:kern w:val="2"/>
        </w:rPr>
        <w:t xml:space="preserve">All of the heat rate data submitted by Reliant to the CAISO was provided to Reliant by SCE at the time of Reliant’s acquisition of the California generating units from SCE.  Since the CAISO did not require seasonal heat rate data to be provided, and since Reliant’s dispatchers were using (and continue to use) the non-seasonal data provided by SCE, the non-seasonal data from SCE was provided to CAISO.  </w:t>
      </w:r>
    </w:p>
    <w:p>
      <w:pPr>
        <w:pStyle w:val="Normal"/>
        <w:rPr>
          <w:kern w:val="2"/>
        </w:rPr>
      </w:pPr>
      <w:r>
        <w:rPr>
          <w:kern w:val="2"/>
        </w:rPr>
        <w:t xml:space="preserve"> </w:t>
      </w:r>
    </w:p>
    <w:p>
      <w:pPr>
        <w:pStyle w:val="Normal"/>
        <w:rPr>
          <w:b/>
          <w:kern w:val="2"/>
          <w:u w:val="single"/>
        </w:rPr>
      </w:pPr>
      <w:r>
        <w:rPr>
          <w:b/>
          <w:kern w:val="2"/>
          <w:u w:val="single"/>
        </w:rPr>
        <w:t xml:space="preserve">ATTACHMENTS </w:t>
      </w:r>
    </w:p>
    <w:p>
      <w:pPr>
        <w:pStyle w:val="Normal"/>
        <w:rPr>
          <w:b/>
          <w:kern w:val="2"/>
          <w:u w:val="single"/>
        </w:rPr>
      </w:pPr>
      <w:r>
        <w:rPr>
          <w:b/>
          <w:kern w:val="2"/>
          <w:u w:val="single"/>
        </w:rPr>
      </w:r>
    </w:p>
    <w:p>
      <w:pPr>
        <w:sectPr>
          <w:headerReference w:type="default" r:id="rId10"/>
          <w:headerReference w:type="first" r:id="rId11"/>
          <w:footerReference w:type="default" r:id="rId12"/>
          <w:footerReference w:type="first" r:id="rId13"/>
          <w:type w:val="nextPage"/>
          <w:pgSz w:w="12240" w:h="15840"/>
          <w:pgMar w:left="1800" w:right="1800" w:gutter="0" w:header="720" w:top="1440" w:footer="720" w:bottom="1440"/>
          <w:pgNumType w:fmt="decimal"/>
          <w:formProt w:val="false"/>
          <w:titlePg/>
          <w:textDirection w:val="lrTb"/>
          <w:docGrid w:type="default" w:linePitch="360" w:charSpace="0"/>
        </w:sectPr>
        <w:pStyle w:val="Normal"/>
        <w:rPr>
          <w:kern w:val="2"/>
        </w:rPr>
      </w:pPr>
      <w:r>
        <w:rPr>
          <w:kern w:val="2"/>
        </w:rPr>
        <w:t>None.</w:t>
      </w:r>
    </w:p>
    <w:p>
      <w:pPr>
        <w:pStyle w:val="Normal"/>
        <w:rPr>
          <w:b/>
          <w:kern w:val="2"/>
          <w:u w:val="single"/>
        </w:rPr>
      </w:pPr>
      <w:r>
        <w:rPr>
          <w:b/>
          <w:kern w:val="2"/>
          <w:u w:val="single"/>
        </w:rPr>
        <w:t xml:space="preserve">REQUEST </w:t>
      </w:r>
    </w:p>
    <w:p>
      <w:pPr>
        <w:pStyle w:val="Normal"/>
        <w:rPr>
          <w:b/>
          <w:kern w:val="2"/>
          <w:u w:val="single"/>
        </w:rPr>
      </w:pPr>
      <w:r>
        <w:rPr>
          <w:b/>
          <w:kern w:val="2"/>
          <w:u w:val="single"/>
        </w:rPr>
      </w:r>
    </w:p>
    <w:p>
      <w:pPr>
        <w:pStyle w:val="Normal"/>
        <w:ind w:hanging="720" w:start="720" w:end="0"/>
        <w:rPr>
          <w:i/>
          <w:i/>
          <w:kern w:val="2"/>
        </w:rPr>
      </w:pPr>
      <w:r>
        <w:rPr>
          <w:i/>
          <w:kern w:val="2"/>
        </w:rPr>
        <w:t xml:space="preserve">a) </w:t>
        <w:tab/>
        <w:t>For each generating unit, please provide the heat rate data submitted to EPA as part of the CEMS program and describe how the data were derived.</w:t>
      </w:r>
    </w:p>
    <w:p>
      <w:pPr>
        <w:pStyle w:val="Normal"/>
        <w:ind w:hanging="720" w:start="720" w:end="0"/>
        <w:rPr>
          <w:i/>
          <w:i/>
          <w:kern w:val="2"/>
        </w:rPr>
      </w:pPr>
      <w:r>
        <w:rPr>
          <w:i/>
          <w:kern w:val="2"/>
        </w:rPr>
      </w:r>
    </w:p>
    <w:p>
      <w:pPr>
        <w:pStyle w:val="Normal"/>
        <w:ind w:hanging="720" w:start="720" w:end="0"/>
        <w:rPr>
          <w:i/>
          <w:i/>
          <w:kern w:val="2"/>
        </w:rPr>
      </w:pPr>
      <w:r>
        <w:rPr>
          <w:i/>
          <w:kern w:val="2"/>
        </w:rPr>
        <w:t xml:space="preserve">b) </w:t>
        <w:tab/>
        <w:t>If the heat rate data submitted to the EPA differs from what has been provided to the CAISO, please explain why.</w:t>
      </w:r>
    </w:p>
    <w:p>
      <w:pPr>
        <w:pStyle w:val="Normal"/>
        <w:ind w:hanging="720" w:start="720" w:end="0"/>
        <w:rPr>
          <w:i/>
          <w:i/>
          <w:kern w:val="2"/>
        </w:rPr>
      </w:pPr>
      <w:r>
        <w:rPr>
          <w:i/>
          <w:kern w:val="2"/>
        </w:rPr>
      </w:r>
    </w:p>
    <w:p>
      <w:pPr>
        <w:pStyle w:val="Normal"/>
        <w:ind w:hanging="720" w:start="720" w:end="0"/>
        <w:rPr>
          <w:i/>
          <w:i/>
          <w:kern w:val="2"/>
        </w:rPr>
      </w:pPr>
      <w:r>
        <w:rPr>
          <w:i/>
          <w:kern w:val="2"/>
        </w:rPr>
        <w:t xml:space="preserve">c) </w:t>
        <w:tab/>
        <w:t>Is the heat rate data provided to the EPA available to the public on the EPA's web site?  If so, please provide the web address.</w:t>
      </w:r>
    </w:p>
    <w:p>
      <w:pPr>
        <w:pStyle w:val="Normal"/>
        <w:rPr>
          <w:i/>
          <w:i/>
          <w:kern w:val="2"/>
        </w:rPr>
      </w:pPr>
      <w:r>
        <w:rPr>
          <w:i/>
          <w:kern w:val="2"/>
        </w:rPr>
      </w:r>
    </w:p>
    <w:p>
      <w:pPr>
        <w:pStyle w:val="Normal"/>
        <w:rPr>
          <w:b/>
          <w:kern w:val="2"/>
          <w:u w:val="single"/>
        </w:rPr>
      </w:pPr>
      <w:r>
        <w:rPr>
          <w:b/>
          <w:kern w:val="2"/>
          <w:u w:val="single"/>
        </w:rPr>
        <w:t xml:space="preserve">RESPONSE </w:t>
      </w:r>
    </w:p>
    <w:p>
      <w:pPr>
        <w:pStyle w:val="Normal"/>
        <w:rPr>
          <w:b/>
          <w:kern w:val="2"/>
          <w:u w:val="single"/>
        </w:rPr>
      </w:pPr>
      <w:r>
        <w:rPr>
          <w:b/>
          <w:kern w:val="2"/>
          <w:u w:val="single"/>
        </w:rPr>
      </w:r>
    </w:p>
    <w:p>
      <w:pPr>
        <w:pStyle w:val="Normal"/>
        <w:ind w:hanging="720" w:start="720" w:end="0"/>
        <w:rPr>
          <w:b/>
          <w:kern w:val="2"/>
        </w:rPr>
      </w:pPr>
      <w:r>
        <w:rPr>
          <w:kern w:val="2"/>
        </w:rPr>
        <w:t>a)</w:t>
        <w:tab/>
        <w:t>The Continuous Emissions Monitoring System equipment on Reliant’s California units was in place at the time of Reliant’s acquisition of those generating units from SCE.</w:t>
      </w:r>
      <w:r>
        <w:rPr>
          <w:b/>
          <w:kern w:val="2"/>
        </w:rPr>
        <w:t xml:space="preserve">  </w:t>
      </w:r>
      <w:r>
        <w:rPr>
          <w:kern w:val="2"/>
        </w:rPr>
        <w:t xml:space="preserve">Reliant, as part of their periodic reporting of emissions data to the Environmental Protection Agency (“EPA”), does not provide heat rate data in the same manner that this data is provided to the CAISO.  Heat rate data provided to the CAISO is in the form of eleven fuel-generation pair blocks for the steam units and a single fuel point for the peaking units.  Data provided to the EPA (record type 300) consists of a quarterly heat input rate (mmBtu/hr), total hourly heat input (mmBtu), and gross unit load (MW).  The EPA data can be found at: http://www.epa.gov/airmarkt/emissions/prelimarp/index.html.  </w:t>
      </w:r>
    </w:p>
    <w:p>
      <w:pPr>
        <w:pStyle w:val="Normal"/>
        <w:ind w:hanging="720" w:start="720" w:end="0"/>
        <w:rPr>
          <w:b/>
          <w:kern w:val="2"/>
        </w:rPr>
      </w:pPr>
      <w:r>
        <w:rPr>
          <w:b/>
          <w:kern w:val="2"/>
        </w:rPr>
      </w:r>
    </w:p>
    <w:p>
      <w:pPr>
        <w:pStyle w:val="Normal"/>
        <w:ind w:hanging="720" w:start="720" w:end="0"/>
        <w:rPr>
          <w:kern w:val="2"/>
        </w:rPr>
      </w:pPr>
      <w:r>
        <w:rPr>
          <w:kern w:val="2"/>
        </w:rPr>
        <w:t>b)</w:t>
        <w:tab/>
        <w:t xml:space="preserve">Please see the response to question a) above. </w:t>
      </w:r>
    </w:p>
    <w:p>
      <w:pPr>
        <w:pStyle w:val="Normal"/>
        <w:ind w:hanging="720" w:start="720" w:end="0"/>
        <w:rPr>
          <w:kern w:val="2"/>
        </w:rPr>
      </w:pPr>
      <w:r>
        <w:rPr>
          <w:kern w:val="2"/>
        </w:rPr>
      </w:r>
    </w:p>
    <w:p>
      <w:pPr>
        <w:pStyle w:val="Normal"/>
        <w:ind w:hanging="720" w:start="720" w:end="0"/>
        <w:rPr>
          <w:kern w:val="2"/>
        </w:rPr>
      </w:pPr>
      <w:r>
        <w:rPr>
          <w:kern w:val="2"/>
        </w:rPr>
        <w:t xml:space="preserve">c) </w:t>
        <w:tab/>
        <w:t xml:space="preserve">Please see the response to question a) above. </w:t>
      </w:r>
    </w:p>
    <w:p>
      <w:pPr>
        <w:pStyle w:val="Normal"/>
        <w:rPr>
          <w:kern w:val="2"/>
        </w:rPr>
      </w:pPr>
      <w:r>
        <w:rPr>
          <w:kern w:val="2"/>
        </w:rPr>
      </w:r>
    </w:p>
    <w:p>
      <w:pPr>
        <w:pStyle w:val="Normal"/>
        <w:rPr>
          <w:b/>
          <w:kern w:val="2"/>
          <w:u w:val="single"/>
        </w:rPr>
      </w:pPr>
      <w:r>
        <w:rPr>
          <w:b/>
          <w:kern w:val="2"/>
          <w:u w:val="single"/>
        </w:rPr>
        <w:t>ATTACHMENTS</w:t>
      </w:r>
    </w:p>
    <w:p>
      <w:pPr>
        <w:pStyle w:val="Normal"/>
        <w:rPr>
          <w:b/>
          <w:kern w:val="2"/>
          <w:u w:val="single"/>
        </w:rPr>
      </w:pPr>
      <w:r>
        <w:rPr>
          <w:b/>
          <w:kern w:val="2"/>
          <w:u w:val="single"/>
        </w:rPr>
      </w:r>
    </w:p>
    <w:p>
      <w:pPr>
        <w:pStyle w:val="Normal"/>
        <w:rPr>
          <w:kern w:val="2"/>
        </w:rPr>
      </w:pPr>
      <w:r>
        <w:rPr>
          <w:kern w:val="2"/>
        </w:rPr>
        <w:t>None.</w:t>
      </w:r>
    </w:p>
    <w:sectPr>
      <w:headerReference w:type="default" r:id="rId14"/>
      <w:headerReference w:type="first" r:id="rId15"/>
      <w:footerReference w:type="default" r:id="rId16"/>
      <w:footerReference w:type="first" r:id="rId17"/>
      <w:type w:val="nextPage"/>
      <w:pgSz w:w="12240" w:h="15840"/>
      <w:pgMar w:left="1800" w:right="180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745490" cy="20955"/>
              <wp:effectExtent l="0" t="0" r="0" b="0"/>
              <wp:wrapSquare wrapText="bothSides"/>
              <wp:docPr id="1" name="Frame1"/>
              <a:graphic xmlns:a="http://schemas.openxmlformats.org/drawingml/2006/main">
                <a:graphicData uri="http://schemas.microsoft.com/office/word/2010/wordprocessingShape">
                  <wps:wsp>
                    <wps:cNvSpPr txBox="1"/>
                    <wps:spPr>
                      <a:xfrm>
                        <a:off x="0" y="0"/>
                        <a:ext cx="745490" cy="20955"/>
                      </a:xfrm>
                      <a:prstGeom prst="rect"/>
                      <a:solidFill>
                        <a:srgbClr val="FFFFFF">
                          <a:alpha val="0"/>
                        </a:srgbClr>
                      </a:solidFill>
                    </wps:spPr>
                    <wps:txbx>
                      <w:txbxContent>
                        <w:p>
                          <w:pPr>
                            <w:pStyle w:val="Footer"/>
                            <w:rPr>
                              <w:rStyle w:val="PageNumber"/>
                            </w:rPr>
                          </w:pPr>
                          <w:r>
                            <w:rPr>
                              <w:rStyle w:val="PageNumber"/>
                              <w:sz w:val="16"/>
                            </w:rPr>
                            <w:fldChar w:fldCharType="begin"/>
                          </w:r>
                          <w:r>
                            <w:rPr>
                              <w:rStyle w:val="PageNumber"/>
                              <w:sz w:val="16"/>
                            </w:rPr>
                            <w:instrText xml:space="preserve"> COMMENTS </w:instrText>
                          </w:r>
                          <w:r>
                            <w:rPr>
                              <w:rStyle w:val="PageNumber"/>
                              <w:sz w:val="16"/>
                            </w:rPr>
                            <w:fldChar w:fldCharType="separate"/>
                          </w:r>
                          <w:r>
                            <w:rPr>
                              <w:rStyle w:val="PageNumber"/>
                              <w:sz w:val="16"/>
                            </w:rPr>
                            <w:t>DC01:310893.1</w:t>
                          </w:r>
                          <w:r>
                            <w:rPr>
                              <w:rStyle w:val="PageNumber"/>
                              <w:sz w:val="16"/>
                            </w:rPr>
                            <w:fldChar w:fldCharType="end"/>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8.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Style w:val="PageNumber"/>
                        <w:sz w:val="16"/>
                      </w:rPr>
                      <w:fldChar w:fldCharType="begin"/>
                    </w:r>
                    <w:r>
                      <w:rPr>
                        <w:rStyle w:val="PageNumber"/>
                        <w:sz w:val="16"/>
                      </w:rPr>
                      <w:instrText xml:space="preserve"> COMMENTS </w:instrText>
                    </w:r>
                    <w:r>
                      <w:rPr>
                        <w:rStyle w:val="PageNumber"/>
                        <w:sz w:val="16"/>
                      </w:rPr>
                      <w:fldChar w:fldCharType="separate"/>
                    </w:r>
                    <w:r>
                      <w:rPr>
                        <w:rStyle w:val="PageNumber"/>
                        <w:sz w:val="16"/>
                      </w:rPr>
                      <w:t>DC01:310893.1</w:t>
                    </w:r>
                    <w:r>
                      <w:rPr>
                        <w:rStyle w:val="PageNumber"/>
                        <w:sz w:val="16"/>
                      </w:rPr>
                      <w:fldChar w:fldCharType="end"/>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COMMENTS </w:instrText>
    </w:r>
    <w:r>
      <w:rPr/>
      <w:fldChar w:fldCharType="separate"/>
    </w:r>
    <w:r>
      <w:rPr/>
      <w:t>DC01:310893.1</w:t>
    </w:r>
    <w:r>
      <w:rPr/>
      <w:fldChar w:fldCharType="end"/>
    </w:r>
    <w:r>
      <w:rPr/>
      <w:tab/>
    </w:r>
    <w:r>
      <w:rPr>
        <w:sz w:val="24"/>
      </w:rPr>
      <w:t>Page 1 of 1</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745490" cy="20955"/>
              <wp:effectExtent l="0" t="0" r="0" b="0"/>
              <wp:wrapSquare wrapText="bothSides"/>
              <wp:docPr id="2" name="Frame2"/>
              <a:graphic xmlns:a="http://schemas.openxmlformats.org/drawingml/2006/main">
                <a:graphicData uri="http://schemas.microsoft.com/office/word/2010/wordprocessingShape">
                  <wps:wsp>
                    <wps:cNvSpPr txBox="1"/>
                    <wps:spPr>
                      <a:xfrm>
                        <a:off x="0" y="0"/>
                        <a:ext cx="745490" cy="20955"/>
                      </a:xfrm>
                      <a:prstGeom prst="rect"/>
                      <a:solidFill>
                        <a:srgbClr val="FFFFFF">
                          <a:alpha val="0"/>
                        </a:srgbClr>
                      </a:solidFill>
                    </wps:spPr>
                    <wps:txbx>
                      <w:txbxContent>
                        <w:p>
                          <w:pPr>
                            <w:pStyle w:val="Footer"/>
                            <w:rPr/>
                          </w:pPr>
                          <w:r>
                            <w:rPr>
                              <w:rStyle w:val="PageNumber"/>
                              <w:sz w:val="16"/>
                            </w:rPr>
                            <w:fldChar w:fldCharType="begin"/>
                          </w:r>
                          <w:r>
                            <w:rPr>
                              <w:rStyle w:val="PageNumber"/>
                              <w:sz w:val="16"/>
                            </w:rPr>
                            <w:instrText xml:space="preserve"> COMMENTS </w:instrText>
                          </w:r>
                          <w:r>
                            <w:rPr>
                              <w:rStyle w:val="PageNumber"/>
                              <w:sz w:val="16"/>
                            </w:rPr>
                            <w:fldChar w:fldCharType="separate"/>
                          </w:r>
                          <w:r>
                            <w:rPr>
                              <w:rStyle w:val="PageNumber"/>
                              <w:sz w:val="16"/>
                            </w:rPr>
                            <w:t>DC01:310893.1</w:t>
                          </w:r>
                          <w:r>
                            <w:rPr>
                              <w:rStyle w:val="PageNumber"/>
                              <w:sz w:val="16"/>
                            </w:rPr>
                            <w:fldChar w:fldCharType="end"/>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8.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sz w:val="16"/>
                      </w:rPr>
                      <w:fldChar w:fldCharType="begin"/>
                    </w:r>
                    <w:r>
                      <w:rPr>
                        <w:rStyle w:val="PageNumber"/>
                        <w:sz w:val="16"/>
                      </w:rPr>
                      <w:instrText xml:space="preserve"> COMMENTS </w:instrText>
                    </w:r>
                    <w:r>
                      <w:rPr>
                        <w:rStyle w:val="PageNumber"/>
                        <w:sz w:val="16"/>
                      </w:rPr>
                      <w:fldChar w:fldCharType="separate"/>
                    </w:r>
                    <w:r>
                      <w:rPr>
                        <w:rStyle w:val="PageNumber"/>
                        <w:sz w:val="16"/>
                      </w:rPr>
                      <w:t>DC01:310893.1</w:t>
                    </w:r>
                    <w:r>
                      <w:rPr>
                        <w:rStyle w:val="PageNumber"/>
                        <w:sz w:val="16"/>
                      </w:rPr>
                      <w:fldChar w:fldCharType="end"/>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COMMENTS </w:instrText>
    </w:r>
    <w:r>
      <w:rPr/>
      <w:fldChar w:fldCharType="separate"/>
    </w:r>
    <w:r>
      <w:rPr/>
      <w:t>DC01:310893.1</w:t>
    </w:r>
    <w:r>
      <w:rPr/>
      <w:fldChar w:fldCharType="end"/>
    </w:r>
    <w:r>
      <w:rPr/>
      <w:tab/>
    </w:r>
    <w:r>
      <w:rPr>
        <w:sz w:val="24"/>
      </w:rPr>
      <w:t>Page 1 of 1</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745490" cy="20955"/>
              <wp:effectExtent l="0" t="0" r="0" b="0"/>
              <wp:wrapSquare wrapText="bothSides"/>
              <wp:docPr id="3" name="Frame3"/>
              <a:graphic xmlns:a="http://schemas.openxmlformats.org/drawingml/2006/main">
                <a:graphicData uri="http://schemas.microsoft.com/office/word/2010/wordprocessingShape">
                  <wps:wsp>
                    <wps:cNvSpPr txBox="1"/>
                    <wps:spPr>
                      <a:xfrm>
                        <a:off x="0" y="0"/>
                        <a:ext cx="745490" cy="20955"/>
                      </a:xfrm>
                      <a:prstGeom prst="rect"/>
                      <a:solidFill>
                        <a:srgbClr val="FFFFFF">
                          <a:alpha val="0"/>
                        </a:srgbClr>
                      </a:solidFill>
                    </wps:spPr>
                    <wps:txbx>
                      <w:txbxContent>
                        <w:p>
                          <w:pPr>
                            <w:pStyle w:val="Footer"/>
                            <w:rPr/>
                          </w:pPr>
                          <w:r>
                            <w:rPr>
                              <w:rStyle w:val="PageNumber"/>
                              <w:sz w:val="16"/>
                            </w:rPr>
                            <w:fldChar w:fldCharType="begin"/>
                          </w:r>
                          <w:r>
                            <w:rPr>
                              <w:rStyle w:val="PageNumber"/>
                              <w:sz w:val="16"/>
                            </w:rPr>
                            <w:instrText xml:space="preserve"> COMMENTS </w:instrText>
                          </w:r>
                          <w:r>
                            <w:rPr>
                              <w:rStyle w:val="PageNumber"/>
                              <w:sz w:val="16"/>
                            </w:rPr>
                            <w:fldChar w:fldCharType="separate"/>
                          </w:r>
                          <w:r>
                            <w:rPr>
                              <w:rStyle w:val="PageNumber"/>
                              <w:sz w:val="16"/>
                            </w:rPr>
                            <w:t>DC01:310893.1</w:t>
                          </w:r>
                          <w:r>
                            <w:rPr>
                              <w:rStyle w:val="PageNumber"/>
                              <w:sz w:val="16"/>
                            </w:rPr>
                            <w:fldChar w:fldCharType="end"/>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8.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sz w:val="16"/>
                      </w:rPr>
                      <w:fldChar w:fldCharType="begin"/>
                    </w:r>
                    <w:r>
                      <w:rPr>
                        <w:rStyle w:val="PageNumber"/>
                        <w:sz w:val="16"/>
                      </w:rPr>
                      <w:instrText xml:space="preserve"> COMMENTS </w:instrText>
                    </w:r>
                    <w:r>
                      <w:rPr>
                        <w:rStyle w:val="PageNumber"/>
                        <w:sz w:val="16"/>
                      </w:rPr>
                      <w:fldChar w:fldCharType="separate"/>
                    </w:r>
                    <w:r>
                      <w:rPr>
                        <w:rStyle w:val="PageNumber"/>
                        <w:sz w:val="16"/>
                      </w:rPr>
                      <w:t>DC01:310893.1</w:t>
                    </w:r>
                    <w:r>
                      <w:rPr>
                        <w:rStyle w:val="PageNumber"/>
                        <w:sz w:val="16"/>
                      </w:rPr>
                      <w:fldChar w:fldCharType="end"/>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COMMENTS </w:instrText>
    </w:r>
    <w:r>
      <w:rPr/>
      <w:fldChar w:fldCharType="separate"/>
    </w:r>
    <w:r>
      <w:rPr/>
      <w:t>DC01:310893.1</w:t>
    </w:r>
    <w:r>
      <w:rPr/>
      <w:fldChar w:fldCharType="end"/>
    </w:r>
    <w:r>
      <w:rPr/>
      <w:tab/>
    </w:r>
    <w:r>
      <w:rPr>
        <w:sz w:val="24"/>
      </w:rPr>
      <w:t>Page 1 of 1</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745490" cy="20955"/>
              <wp:effectExtent l="0" t="0" r="0" b="0"/>
              <wp:wrapSquare wrapText="bothSides"/>
              <wp:docPr id="4" name="Frame4"/>
              <a:graphic xmlns:a="http://schemas.openxmlformats.org/drawingml/2006/main">
                <a:graphicData uri="http://schemas.microsoft.com/office/word/2010/wordprocessingShape">
                  <wps:wsp>
                    <wps:cNvSpPr txBox="1"/>
                    <wps:spPr>
                      <a:xfrm>
                        <a:off x="0" y="0"/>
                        <a:ext cx="745490" cy="20955"/>
                      </a:xfrm>
                      <a:prstGeom prst="rect"/>
                      <a:solidFill>
                        <a:srgbClr val="FFFFFF">
                          <a:alpha val="0"/>
                        </a:srgbClr>
                      </a:solidFill>
                    </wps:spPr>
                    <wps:txbx>
                      <w:txbxContent>
                        <w:p>
                          <w:pPr>
                            <w:pStyle w:val="Footer"/>
                            <w:rPr/>
                          </w:pPr>
                          <w:r>
                            <w:rPr>
                              <w:rStyle w:val="PageNumber"/>
                              <w:sz w:val="16"/>
                            </w:rPr>
                            <w:fldChar w:fldCharType="begin"/>
                          </w:r>
                          <w:r>
                            <w:rPr>
                              <w:rStyle w:val="PageNumber"/>
                              <w:sz w:val="16"/>
                            </w:rPr>
                            <w:instrText xml:space="preserve"> COMMENTS </w:instrText>
                          </w:r>
                          <w:r>
                            <w:rPr>
                              <w:rStyle w:val="PageNumber"/>
                              <w:sz w:val="16"/>
                            </w:rPr>
                            <w:fldChar w:fldCharType="separate"/>
                          </w:r>
                          <w:r>
                            <w:rPr>
                              <w:rStyle w:val="PageNumber"/>
                              <w:sz w:val="16"/>
                            </w:rPr>
                            <w:t>DC01:310893.1</w:t>
                          </w:r>
                          <w:r>
                            <w:rPr>
                              <w:rStyle w:val="PageNumber"/>
                              <w:sz w:val="16"/>
                            </w:rPr>
                            <w:fldChar w:fldCharType="end"/>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8.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sz w:val="16"/>
                      </w:rPr>
                      <w:fldChar w:fldCharType="begin"/>
                    </w:r>
                    <w:r>
                      <w:rPr>
                        <w:rStyle w:val="PageNumber"/>
                        <w:sz w:val="16"/>
                      </w:rPr>
                      <w:instrText xml:space="preserve"> COMMENTS </w:instrText>
                    </w:r>
                    <w:r>
                      <w:rPr>
                        <w:rStyle w:val="PageNumber"/>
                        <w:sz w:val="16"/>
                      </w:rPr>
                      <w:fldChar w:fldCharType="separate"/>
                    </w:r>
                    <w:r>
                      <w:rPr>
                        <w:rStyle w:val="PageNumber"/>
                        <w:sz w:val="16"/>
                      </w:rPr>
                      <w:t>DC01:310893.1</w:t>
                    </w:r>
                    <w:r>
                      <w:rPr>
                        <w:rStyle w:val="PageNumber"/>
                        <w:sz w:val="16"/>
                      </w:rPr>
                      <w:fldChar w:fldCharType="end"/>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COMMENTS </w:instrText>
    </w:r>
    <w:r>
      <w:rPr/>
      <w:fldChar w:fldCharType="separate"/>
    </w:r>
    <w:r>
      <w:rPr/>
      <w:t>DC01:310893.1</w:t>
    </w:r>
    <w:r>
      <w:rPr/>
      <w:fldChar w:fldCharType="end"/>
    </w:r>
    <w:r>
      <w:rPr/>
      <w:tab/>
    </w:r>
    <w:r>
      <w:rPr>
        <w:sz w:val="24"/>
      </w:rPr>
      <w:t>Page 1 of 1</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Reliant Resources, Incorporated</w:t>
    </w:r>
  </w:p>
  <w:p>
    <w:pPr>
      <w:pStyle w:val="Header"/>
      <w:jc w:val="end"/>
      <w:rPr/>
    </w:pPr>
    <w:r>
      <w:rPr/>
      <w:t>Response to FERC Audit Request #22</w:t>
    </w:r>
  </w:p>
  <w:p>
    <w:pPr>
      <w:pStyle w:val="Header"/>
      <w:jc w:val="end"/>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8"/>
      </w:rPr>
    </w:pPr>
    <w:r>
      <w:rPr>
        <w:sz w:val="28"/>
      </w:rPr>
      <w:t>F.E.R.C. DOCKET NOS. EL00-95-045, EL00-98-042</w:t>
    </w:r>
  </w:p>
  <w:p>
    <w:pPr>
      <w:pStyle w:val="Header"/>
      <w:rPr/>
    </w:pPr>
    <w:r>
      <w:rPr/>
      <w:t>Staff’s Third Set of Data Requests to Reliant Energy Power Generation, Inc.</w:t>
    </w:r>
  </w:p>
  <w:p>
    <w:pPr>
      <w:pStyle w:val="Header"/>
      <w:rPr/>
    </w:pPr>
    <w:r>
      <w:rPr/>
    </w:r>
  </w:p>
  <w:p>
    <w:pPr>
      <w:pStyle w:val="Header"/>
      <w:rPr/>
    </w:pPr>
    <w:r>
      <w:rPr/>
      <w:t>Reliant Energy Companies</w:t>
    </w:r>
  </w:p>
  <w:p>
    <w:pPr>
      <w:pStyle w:val="Header"/>
      <w:rPr>
        <w:kern w:val="2"/>
      </w:rPr>
    </w:pPr>
    <w:r>
      <w:rPr>
        <w:kern w:val="2"/>
      </w:rPr>
      <w:t>Question Staff/GEN-32</w:t>
    </w:r>
  </w:p>
  <w:p>
    <w:pPr>
      <w:pStyle w:val="Header"/>
      <w:rPr/>
    </w:pPr>
    <w:r>
      <w:rPr/>
      <w:t>December 4, 2001</w:t>
    </w:r>
  </w:p>
  <w:p>
    <w:pPr>
      <w:pStyle w:val="Header"/>
      <w:rPr/>
    </w:pPr>
    <w:r>
      <w:rPr/>
    </w:r>
  </w:p>
  <w:p>
    <w:pPr>
      <w:pStyle w:val="Header"/>
      <w:tabs>
        <w:tab w:val="left" w:pos="2160" w:leader="none"/>
        <w:tab w:val="left" w:pos="2880" w:leader="none"/>
        <w:tab w:val="center" w:pos="5040" w:leader="none"/>
        <w:tab w:val="right" w:pos="9360" w:leader="none"/>
      </w:tabs>
      <w:rPr/>
    </w:pPr>
    <w:r>
      <w:rPr/>
      <w:t>DATE OF REQUEST:</w:t>
      <w:tab/>
      <w:t>11/26/01</w:t>
    </w:r>
  </w:p>
  <w:p>
    <w:pPr>
      <w:pStyle w:val="Header"/>
      <w:tabs>
        <w:tab w:val="left" w:pos="2880" w:leader="none"/>
        <w:tab w:val="center" w:pos="5040" w:leader="none"/>
        <w:tab w:val="right" w:pos="9360" w:leader="none"/>
      </w:tabs>
      <w:rPr/>
    </w:pPr>
    <w:r>
      <w:rPr/>
      <w:t>RESPONSE MADE BY:</w:t>
      <w:tab/>
      <w:t>William T. Hamilton</w:t>
    </w:r>
  </w:p>
  <w:p>
    <w:pPr>
      <w:pStyle w:val="Header"/>
      <w:tabs>
        <w:tab w:val="left" w:pos="2880" w:leader="none"/>
        <w:tab w:val="center" w:pos="5040" w:leader="none"/>
        <w:tab w:val="right" w:pos="9360" w:leader="none"/>
      </w:tabs>
      <w:rPr/>
    </w:pPr>
    <w:r>
      <w:rPr/>
      <w:tab/>
      <w:t>Vice President of Risk Control</w:t>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Reliant Resources, Incorporated</w:t>
    </w:r>
  </w:p>
  <w:p>
    <w:pPr>
      <w:pStyle w:val="Header"/>
      <w:jc w:val="end"/>
      <w:rPr/>
    </w:pPr>
    <w:r>
      <w:rPr/>
      <w:t>Response to FERC Audit Request #22</w:t>
    </w:r>
  </w:p>
  <w:p>
    <w:pPr>
      <w:pStyle w:val="Header"/>
      <w:jc w:val="end"/>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8"/>
      </w:rPr>
    </w:pPr>
    <w:r>
      <w:rPr>
        <w:sz w:val="28"/>
      </w:rPr>
      <w:t>F.E.R.C. DOCKET NOS. EL00-95-045, EL00-98-042</w:t>
    </w:r>
  </w:p>
  <w:p>
    <w:pPr>
      <w:pStyle w:val="Header"/>
      <w:rPr/>
    </w:pPr>
    <w:r>
      <w:rPr/>
      <w:t>Staff’s Third Set of Data Requests to Reliant Energy Power Generation, Inc.</w:t>
    </w:r>
  </w:p>
  <w:p>
    <w:pPr>
      <w:pStyle w:val="Header"/>
      <w:rPr/>
    </w:pPr>
    <w:r>
      <w:rPr/>
    </w:r>
  </w:p>
  <w:p>
    <w:pPr>
      <w:pStyle w:val="Header"/>
      <w:rPr/>
    </w:pPr>
    <w:r>
      <w:rPr/>
      <w:t>Reliant Energy Companies</w:t>
    </w:r>
  </w:p>
  <w:p>
    <w:pPr>
      <w:pStyle w:val="Header"/>
      <w:rPr>
        <w:kern w:val="2"/>
      </w:rPr>
    </w:pPr>
    <w:r>
      <w:rPr>
        <w:kern w:val="2"/>
      </w:rPr>
      <w:t>Question Staff/GEN-33</w:t>
    </w:r>
  </w:p>
  <w:p>
    <w:pPr>
      <w:pStyle w:val="Header"/>
      <w:rPr/>
    </w:pPr>
    <w:r>
      <w:rPr/>
      <w:t>December 4, 2001</w:t>
    </w:r>
  </w:p>
  <w:p>
    <w:pPr>
      <w:pStyle w:val="Header"/>
      <w:rPr/>
    </w:pPr>
    <w:r>
      <w:rPr/>
    </w:r>
  </w:p>
  <w:p>
    <w:pPr>
      <w:pStyle w:val="Header"/>
      <w:tabs>
        <w:tab w:val="left" w:pos="2160" w:leader="none"/>
        <w:tab w:val="left" w:pos="2880" w:leader="none"/>
        <w:tab w:val="center" w:pos="5040" w:leader="none"/>
        <w:tab w:val="right" w:pos="9360" w:leader="none"/>
      </w:tabs>
      <w:rPr/>
    </w:pPr>
    <w:r>
      <w:rPr/>
      <w:t>DATE OF REQUEST:</w:t>
      <w:tab/>
      <w:t>11/26/01</w:t>
    </w:r>
  </w:p>
  <w:p>
    <w:pPr>
      <w:pStyle w:val="Header"/>
      <w:tabs>
        <w:tab w:val="left" w:pos="2880" w:leader="none"/>
        <w:tab w:val="center" w:pos="5040" w:leader="none"/>
        <w:tab w:val="right" w:pos="9360" w:leader="none"/>
      </w:tabs>
      <w:rPr/>
    </w:pPr>
    <w:r>
      <w:rPr/>
      <w:t>RESPONSE MADE BY:</w:t>
      <w:tab/>
      <w:t>William T. Hamilton</w:t>
    </w:r>
  </w:p>
  <w:p>
    <w:pPr>
      <w:pStyle w:val="Header"/>
      <w:tabs>
        <w:tab w:val="left" w:pos="2880" w:leader="none"/>
        <w:tab w:val="center" w:pos="5040" w:leader="none"/>
        <w:tab w:val="right" w:pos="9360" w:leader="none"/>
      </w:tabs>
      <w:rPr/>
    </w:pPr>
    <w:r>
      <w:rPr/>
      <w:tab/>
      <w:t>Vice President of Risk Control</w:t>
    </w:r>
  </w:p>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Reliant Resources, Incorporated</w:t>
    </w:r>
  </w:p>
  <w:p>
    <w:pPr>
      <w:pStyle w:val="Header"/>
      <w:jc w:val="end"/>
      <w:rPr/>
    </w:pPr>
    <w:r>
      <w:rPr/>
      <w:t>Response to FERC Audit Request #22</w:t>
    </w:r>
  </w:p>
  <w:p>
    <w:pPr>
      <w:pStyle w:val="Header"/>
      <w:jc w:val="end"/>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8"/>
      </w:rPr>
    </w:pPr>
    <w:r>
      <w:rPr>
        <w:sz w:val="28"/>
      </w:rPr>
      <w:t>F.E.R.C. DOCKET NOS. EL00-95-045, EL00-98-042</w:t>
    </w:r>
  </w:p>
  <w:p>
    <w:pPr>
      <w:pStyle w:val="Header"/>
      <w:rPr/>
    </w:pPr>
    <w:r>
      <w:rPr/>
      <w:t>Staff’s Third Set of Data Requests to Reliant Energy Power Generation, Inc.</w:t>
    </w:r>
  </w:p>
  <w:p>
    <w:pPr>
      <w:pStyle w:val="Header"/>
      <w:rPr/>
    </w:pPr>
    <w:r>
      <w:rPr/>
    </w:r>
  </w:p>
  <w:p>
    <w:pPr>
      <w:pStyle w:val="Header"/>
      <w:rPr/>
    </w:pPr>
    <w:r>
      <w:rPr/>
      <w:t>Reliant Energy Companies</w:t>
    </w:r>
  </w:p>
  <w:p>
    <w:pPr>
      <w:pStyle w:val="Header"/>
      <w:rPr>
        <w:kern w:val="2"/>
      </w:rPr>
    </w:pPr>
    <w:r>
      <w:rPr>
        <w:kern w:val="2"/>
      </w:rPr>
      <w:t>Question Staff/GEN-34</w:t>
    </w:r>
  </w:p>
  <w:p>
    <w:pPr>
      <w:pStyle w:val="Header"/>
      <w:rPr/>
    </w:pPr>
    <w:r>
      <w:rPr/>
      <w:t>December 4, 2001</w:t>
    </w:r>
  </w:p>
  <w:p>
    <w:pPr>
      <w:pStyle w:val="Header"/>
      <w:rPr/>
    </w:pPr>
    <w:r>
      <w:rPr/>
    </w:r>
  </w:p>
  <w:p>
    <w:pPr>
      <w:pStyle w:val="Header"/>
      <w:tabs>
        <w:tab w:val="left" w:pos="2160" w:leader="none"/>
        <w:tab w:val="left" w:pos="2880" w:leader="none"/>
        <w:tab w:val="center" w:pos="5040" w:leader="none"/>
        <w:tab w:val="right" w:pos="9360" w:leader="none"/>
      </w:tabs>
      <w:rPr/>
    </w:pPr>
    <w:r>
      <w:rPr/>
      <w:t>DATE OF REQUEST:</w:t>
      <w:tab/>
      <w:t>11/26/01</w:t>
    </w:r>
  </w:p>
  <w:p>
    <w:pPr>
      <w:pStyle w:val="Header"/>
      <w:tabs>
        <w:tab w:val="left" w:pos="2880" w:leader="none"/>
        <w:tab w:val="center" w:pos="5040" w:leader="none"/>
        <w:tab w:val="right" w:pos="9360" w:leader="none"/>
      </w:tabs>
      <w:rPr/>
    </w:pPr>
    <w:r>
      <w:rPr/>
      <w:t>RESPONSE MADE BY:</w:t>
      <w:tab/>
      <w:t>William T. Hamilton</w:t>
    </w:r>
  </w:p>
  <w:p>
    <w:pPr>
      <w:pStyle w:val="Header"/>
      <w:tabs>
        <w:tab w:val="left" w:pos="2880" w:leader="none"/>
        <w:tab w:val="center" w:pos="5040" w:leader="none"/>
        <w:tab w:val="right" w:pos="9360" w:leader="none"/>
      </w:tabs>
      <w:rPr/>
    </w:pPr>
    <w:r>
      <w:rPr/>
      <w:tab/>
      <w:t>Vice President of Risk Control</w:t>
    </w:r>
  </w:p>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Reliant Resources, Incorporated</w:t>
    </w:r>
  </w:p>
  <w:p>
    <w:pPr>
      <w:pStyle w:val="Header"/>
      <w:jc w:val="end"/>
      <w:rPr/>
    </w:pPr>
    <w:r>
      <w:rPr/>
      <w:t>Response to FERC Audit Request #22</w:t>
    </w:r>
  </w:p>
  <w:p>
    <w:pPr>
      <w:pStyle w:val="Header"/>
      <w:jc w:val="end"/>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8"/>
      </w:rPr>
    </w:pPr>
    <w:r>
      <w:rPr>
        <w:sz w:val="28"/>
      </w:rPr>
      <w:t>F.E.R.C. DOCKET NOS. EL00-95-045, EL00-98-042</w:t>
    </w:r>
  </w:p>
  <w:p>
    <w:pPr>
      <w:pStyle w:val="Header"/>
      <w:rPr/>
    </w:pPr>
    <w:r>
      <w:rPr/>
      <w:t>Staff’s Third Set of Data Requests to Reliant Energy Power Generation, Inc.</w:t>
    </w:r>
  </w:p>
  <w:p>
    <w:pPr>
      <w:pStyle w:val="Header"/>
      <w:rPr/>
    </w:pPr>
    <w:r>
      <w:rPr/>
    </w:r>
  </w:p>
  <w:p>
    <w:pPr>
      <w:pStyle w:val="Header"/>
      <w:rPr/>
    </w:pPr>
    <w:r>
      <w:rPr/>
      <w:t>Reliant Energy Companies</w:t>
    </w:r>
  </w:p>
  <w:p>
    <w:pPr>
      <w:pStyle w:val="Header"/>
      <w:rPr>
        <w:kern w:val="2"/>
      </w:rPr>
    </w:pPr>
    <w:r>
      <w:rPr>
        <w:kern w:val="2"/>
      </w:rPr>
      <w:t>Question Staff/GEN-35</w:t>
    </w:r>
  </w:p>
  <w:p>
    <w:pPr>
      <w:pStyle w:val="Header"/>
      <w:rPr/>
    </w:pPr>
    <w:r>
      <w:rPr/>
      <w:t>December 4, 2001</w:t>
    </w:r>
  </w:p>
  <w:p>
    <w:pPr>
      <w:pStyle w:val="Header"/>
      <w:rPr/>
    </w:pPr>
    <w:r>
      <w:rPr/>
    </w:r>
  </w:p>
  <w:p>
    <w:pPr>
      <w:pStyle w:val="Header"/>
      <w:tabs>
        <w:tab w:val="left" w:pos="2160" w:leader="none"/>
        <w:tab w:val="left" w:pos="2880" w:leader="none"/>
        <w:tab w:val="center" w:pos="5040" w:leader="none"/>
        <w:tab w:val="right" w:pos="9360" w:leader="none"/>
      </w:tabs>
      <w:rPr/>
    </w:pPr>
    <w:r>
      <w:rPr/>
      <w:t>DATE OF REQUEST:</w:t>
      <w:tab/>
      <w:t>11/26/01</w:t>
    </w:r>
  </w:p>
  <w:p>
    <w:pPr>
      <w:pStyle w:val="Header"/>
      <w:tabs>
        <w:tab w:val="left" w:pos="2880" w:leader="none"/>
        <w:tab w:val="center" w:pos="5040" w:leader="none"/>
        <w:tab w:val="right" w:pos="9360" w:leader="none"/>
      </w:tabs>
      <w:rPr/>
    </w:pPr>
    <w:r>
      <w:rPr/>
      <w:t>RESPONSE MADE BY:</w:t>
      <w:tab/>
      <w:t>William T. Hamilton</w:t>
    </w:r>
  </w:p>
  <w:p>
    <w:pPr>
      <w:pStyle w:val="Header"/>
      <w:tabs>
        <w:tab w:val="left" w:pos="2880" w:leader="none"/>
        <w:tab w:val="center" w:pos="5040" w:leader="none"/>
        <w:tab w:val="right" w:pos="9360" w:leader="none"/>
      </w:tabs>
      <w:rPr/>
    </w:pPr>
    <w:r>
      <w:rPr/>
      <w:tab/>
      <w:t>Vice President of Risk Control</w: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ShowPrintedCheckBox" w:val="TRUE"/>
    <w:docVar w:name="ShowScreenCheckBox" w:val="TRU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kern w:val="2"/>
    </w:rPr>
  </w:style>
  <w:style w:type="paragraph" w:styleId="Heading2">
    <w:name w:val="heading 2"/>
    <w:basedOn w:val="Normal"/>
    <w:next w:val="Normal"/>
    <w:qFormat/>
    <w:pPr>
      <w:keepNext w:val="true"/>
      <w:numPr>
        <w:ilvl w:val="1"/>
        <w:numId w:val="1"/>
      </w:numPr>
      <w:outlineLvl w:val="1"/>
    </w:pPr>
    <w:rPr/>
  </w:style>
  <w:style w:type="paragraph" w:styleId="Heading3">
    <w:name w:val="heading 3"/>
    <w:basedOn w:val="Normal"/>
    <w:next w:val="Normal"/>
    <w:qFormat/>
    <w:pPr>
      <w:keepNext w:val="true"/>
      <w:numPr>
        <w:ilvl w:val="2"/>
        <w:numId w:val="1"/>
      </w:numPr>
      <w:outlineLvl w:val="2"/>
    </w:pPr>
    <w:rPr/>
  </w:style>
  <w:style w:type="paragraph" w:styleId="Heading4">
    <w:name w:val="heading 4"/>
    <w:basedOn w:val="Normal"/>
    <w:next w:val="Normal"/>
    <w:qFormat/>
    <w:pPr>
      <w:keepNext w:val="true"/>
      <w:numPr>
        <w:ilvl w:val="3"/>
        <w:numId w:val="1"/>
      </w:numPr>
      <w:outlineLvl w:val="3"/>
    </w:pPr>
    <w:rPr/>
  </w:style>
  <w:style w:type="paragraph" w:styleId="Heading5">
    <w:name w:val="heading 5"/>
    <w:basedOn w:val="Normal"/>
    <w:next w:val="Normal"/>
    <w:qFormat/>
    <w:pPr>
      <w:numPr>
        <w:ilvl w:val="4"/>
        <w:numId w:val="1"/>
      </w:numPr>
      <w:outlineLvl w:val="4"/>
    </w:pPr>
    <w:rPr/>
  </w:style>
  <w:style w:type="paragraph" w:styleId="Heading6">
    <w:name w:val="heading 6"/>
    <w:basedOn w:val="Normal"/>
    <w:next w:val="Normal"/>
    <w:qFormat/>
    <w:pPr>
      <w:numPr>
        <w:ilvl w:val="5"/>
        <w:numId w:val="1"/>
      </w:numPr>
      <w:outlineLvl w:val="5"/>
    </w:pPr>
    <w:rPr/>
  </w:style>
  <w:style w:type="paragraph" w:styleId="Heading7">
    <w:name w:val="heading 7"/>
    <w:basedOn w:val="Normal"/>
    <w:next w:val="Normal"/>
    <w:qFormat/>
    <w:pPr>
      <w:numPr>
        <w:ilvl w:val="6"/>
        <w:numId w:val="1"/>
      </w:numPr>
      <w:outlineLvl w:val="6"/>
    </w:pPr>
    <w:rPr/>
  </w:style>
  <w:style w:type="paragraph" w:styleId="Heading8">
    <w:name w:val="heading 8"/>
    <w:basedOn w:val="Normal"/>
    <w:next w:val="Normal"/>
    <w:qFormat/>
    <w:pPr>
      <w:numPr>
        <w:ilvl w:val="7"/>
        <w:numId w:val="1"/>
      </w:numPr>
      <w:outlineLvl w:val="7"/>
    </w:pPr>
    <w:rPr/>
  </w:style>
  <w:style w:type="paragraph" w:styleId="Heading9">
    <w:name w:val="heading 9"/>
    <w:basedOn w:val="Normal"/>
    <w:next w:val="Normal"/>
    <w:qFormat/>
    <w:pPr>
      <w:numPr>
        <w:ilvl w:val="8"/>
        <w:numId w:val="1"/>
      </w:numPr>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DefaultParagraphFont">
    <w:name w:val="Default Paragraph Font"/>
    <w:qFormat/>
    <w:rPr/>
  </w:style>
  <w:style w:type="character" w:styleId="FootnoteCharacters">
    <w:name w:val="Footnote Characters"/>
    <w:basedOn w:val="DefaultParagraphFont"/>
    <w:qFormat/>
    <w:rPr>
      <w:sz w:val="20"/>
      <w:vertAlign w:val="superscript"/>
    </w:rPr>
  </w:style>
  <w:style w:type="character" w:styleId="PageNumber">
    <w:name w:val="page number"/>
    <w:basedOn w:val="DefaultParagraphFont"/>
    <w:rPr>
      <w:rFonts w:ascii="Times New Roman" w:hAnsi="Times New Roman" w:cs="Times New Roman"/>
      <w:sz w:val="20"/>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outlineLvl w:val="0"/>
    </w:pPr>
    <w:rPr>
      <w:b/>
      <w:kern w:val="2"/>
      <w:sz w:val="32"/>
    </w:rPr>
  </w:style>
  <w:style w:type="paragraph" w:styleId="BodyText">
    <w:name w:val="Body Text"/>
    <w:basedOn w:val="Normal"/>
    <w:pPr>
      <w:spacing w:before="0" w:after="2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z w:val="16"/>
    </w:rPr>
  </w:style>
  <w:style w:type="paragraph" w:styleId="TOC1">
    <w:name w:val="toc 1"/>
    <w:basedOn w:val="Normal"/>
    <w:next w:val="Normal"/>
    <w:pPr/>
    <w:rPr/>
  </w:style>
  <w:style w:type="paragraph" w:styleId="TOC2">
    <w:name w:val="toc 2"/>
    <w:basedOn w:val="Normal"/>
    <w:next w:val="Normal"/>
    <w:pPr>
      <w:ind w:hanging="0" w:start="245" w:end="0"/>
    </w:pPr>
    <w:rPr/>
  </w:style>
  <w:style w:type="paragraph" w:styleId="TOC3">
    <w:name w:val="toc 3"/>
    <w:basedOn w:val="Normal"/>
    <w:next w:val="Normal"/>
    <w:pPr>
      <w:ind w:hanging="0" w:start="475"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5" w:end="0"/>
    </w:pPr>
    <w:rPr/>
  </w:style>
  <w:style w:type="paragraph" w:styleId="TOC6">
    <w:name w:val="toc 6"/>
    <w:basedOn w:val="Normal"/>
    <w:next w:val="Normal"/>
    <w:pPr>
      <w:ind w:hanging="0" w:start="1195" w:end="0"/>
    </w:pPr>
    <w:rPr/>
  </w:style>
  <w:style w:type="paragraph" w:styleId="TOC7">
    <w:name w:val="toc 7"/>
    <w:basedOn w:val="Normal"/>
    <w:next w:val="Normal"/>
    <w:pPr>
      <w:ind w:hanging="0" w:start="1440" w:end="0"/>
    </w:pPr>
    <w:rPr/>
  </w:style>
  <w:style w:type="paragraph" w:styleId="TOC9">
    <w:name w:val="toc 9"/>
    <w:basedOn w:val="Normal"/>
    <w:next w:val="Normal"/>
    <w:pPr>
      <w:ind w:hanging="0" w:start="1920" w:end="0"/>
    </w:pPr>
    <w:rPr/>
  </w:style>
  <w:style w:type="paragraph" w:styleId="FootnoteText">
    <w:name w:val="footnote text"/>
    <w:basedOn w:val="Normal"/>
    <w:pPr>
      <w:tabs>
        <w:tab w:val="clear" w:pos="720"/>
        <w:tab w:val="right" w:pos="360" w:leader="none"/>
        <w:tab w:val="left" w:pos="446" w:leader="none"/>
      </w:tabs>
      <w:spacing w:before="0" w:after="240"/>
    </w:pPr>
    <w:rPr/>
  </w:style>
  <w:style w:type="paragraph" w:styleId="Closing">
    <w:name w:val="Closing"/>
    <w:basedOn w:val="Normal"/>
    <w:qFormat/>
    <w:pPr>
      <w:ind w:hanging="0" w:start="5040" w:end="0"/>
    </w:pPr>
    <w:rPr/>
  </w:style>
  <w:style w:type="paragraph" w:styleId="Subtitle">
    <w:name w:val="Subtitle"/>
    <w:basedOn w:val="Normal"/>
    <w:next w:val="BodyText"/>
    <w:qFormat/>
    <w:pPr>
      <w:jc w:val="center"/>
      <w:outlineLvl w:val="1"/>
    </w:pPr>
    <w:rPr/>
  </w:style>
  <w:style w:type="paragraph" w:styleId="BlockText">
    <w:name w:val="Block Text"/>
    <w:basedOn w:val="Normal"/>
    <w:next w:val="Normal"/>
    <w:qFormat/>
    <w:pPr>
      <w:spacing w:before="0" w:after="240"/>
      <w:ind w:hanging="0" w:start="1440" w:end="1440"/>
    </w:pPr>
    <w:rPr/>
  </w:style>
  <w:style w:type="paragraph" w:styleId="EnvelopeAddress">
    <w:name w:val="envelope address"/>
    <w:basedOn w:val="Normal"/>
    <w:pPr>
      <w:ind w:hanging="0" w:start="2880" w:end="0"/>
    </w:pPr>
    <w:rPr/>
  </w:style>
  <w:style w:type="paragraph" w:styleId="EndnoteText">
    <w:name w:val="endnote text"/>
    <w:basedOn w:val="Normal"/>
    <w:pPr/>
    <w:rPr>
      <w:sz w:val="20"/>
    </w:rPr>
  </w:style>
  <w:style w:type="paragraph" w:styleId="Header">
    <w:name w:val="header"/>
    <w:basedOn w:val="Normal"/>
    <w:pPr>
      <w:tabs>
        <w:tab w:val="clear" w:pos="720"/>
        <w:tab w:val="center" w:pos="5040" w:leader="none"/>
        <w:tab w:val="right" w:pos="9360" w:leader="none"/>
      </w:tabs>
    </w:pPr>
    <w:rPr/>
  </w:style>
  <w:style w:type="paragraph" w:styleId="Signature">
    <w:name w:val="Signature"/>
    <w:basedOn w:val="Normal"/>
    <w:pPr>
      <w:ind w:hanging="0" w:start="5040" w:end="0"/>
    </w:pPr>
    <w:rPr/>
  </w:style>
  <w:style w:type="paragraph" w:styleId="TOAHeading">
    <w:name w:val="TOA Heading"/>
    <w:basedOn w:val="Normal"/>
    <w:next w:val="Normal"/>
    <w:qFormat/>
    <w:pPr>
      <w:spacing w:before="120" w:after="0"/>
    </w:pPr>
    <w:rPr>
      <w:b/>
    </w:rPr>
  </w:style>
  <w:style w:type="paragraph" w:styleId="NormalIndent">
    <w:name w:val="Normal Indent"/>
    <w:basedOn w:val="Normal"/>
    <w:qFormat/>
    <w:pPr>
      <w:spacing w:before="0" w:after="240"/>
      <w:ind w:firstLine="1440" w:start="0" w:end="0"/>
    </w:pPr>
    <w:rPr/>
  </w:style>
  <w:style w:type="paragraph" w:styleId="EnvelopeReturn">
    <w:name w:val="envelope return"/>
    <w:basedOn w:val="Normal"/>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2001-12-05T11:41:00Z</dcterms:created>
  <dc:creator> </dc:creator>
  <dc:description>DC01:310893.1</dc:description>
  <dc:language>en-CA</dc:language>
  <cp:lastModifiedBy> </cp:lastModifiedBy>
  <cp:lastPrinted>2001-12-05T09:11:00Z</cp:lastPrinted>
  <dcterms:modified xsi:type="dcterms:W3CDTF">2001-12-05T11:41:00Z</dcterms:modified>
  <cp:revision>3</cp:revision>
  <dc:subject/>
  <dc:title>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Type">
    <vt:lpwstr>Disabled</vt:lpwstr>
  </property>
</Properties>
</file>