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ENA Estate Swing Supply.</w:t>
      </w:r>
    </w:p>
    <w:p>
      <w:pPr>
        <w:pStyle w:val="Normal"/>
        <w:rPr/>
      </w:pPr>
      <w:r>
        <w:rPr/>
        <w:t>Commercial Contact:</w:t>
        <w:tab/>
        <w:tab/>
        <w:tab/>
        <w:tab/>
        <w:t>Robin Barbe</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$10,000</w:t>
      </w:r>
    </w:p>
    <w:p>
      <w:pPr>
        <w:pStyle w:val="Normal"/>
        <w:rPr/>
      </w:pPr>
      <w:r>
        <w:rPr/>
        <w:t>Date of Request:</w:t>
        <w:tab/>
        <w:tab/>
        <w:tab/>
        <w:tab/>
        <w:t>05/01/02</w:t>
      </w:r>
    </w:p>
    <w:p>
      <w:pPr>
        <w:pStyle w:val="Normal"/>
        <w:rPr/>
      </w:pPr>
      <w:r>
        <w:rPr/>
        <w:t>Date of Payment:</w:t>
        <w:tab/>
        <w:tab/>
        <w:tab/>
        <w:tab/>
        <w:t>05/03/02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City Of Tallahassee term sale.</w:t>
        <w:tab/>
      </w:r>
    </w:p>
    <w:p>
      <w:pPr>
        <w:pStyle w:val="Normal"/>
        <w:rPr/>
      </w:pPr>
      <w:r>
        <w:rPr/>
        <w:tab/>
        <w:tab/>
        <w:tab/>
        <w:tab/>
        <w:tab/>
        <w:tab/>
        <w:t>Midland Cogeneration Venture Limited</w:t>
      </w:r>
    </w:p>
    <w:p>
      <w:pPr>
        <w:pStyle w:val="Normal"/>
        <w:ind w:firstLine="720" w:start="3600" w:end="0"/>
        <w:rPr/>
      </w:pPr>
      <w:r>
        <w:rPr/>
        <w:t>Partnership term sale.</w:t>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  Gas purchased from Reliant to serve COT is priced at gas daily plus $0.06.</w:t>
      </w:r>
    </w:p>
    <w:p>
      <w:pPr>
        <w:pStyle w:val="Normal"/>
        <w:numPr>
          <w:ilvl w:val="0"/>
          <w:numId w:val="2"/>
        </w:numPr>
        <w:rPr/>
      </w:pPr>
      <w:r>
        <w:rPr/>
        <w:t>Midland Cogen Supply I deal has the right to call on an extra 1,700 dth of gas per day at a price of $4.23/dth.  The current NYMEX price for the prompt month is $3.78.  Thus, daily spot prices would be well below the sales price if we needed to serve Midland Cogen Supply.  This contract has been sold to El Paso Merchant Energy and is pending approval of the Bankruptcy Court.</w:t>
      </w:r>
    </w:p>
    <w:p>
      <w:pPr>
        <w:pStyle w:val="Normal"/>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$9,866,262 based on curves as of 4/25/02.</w:t>
      </w:r>
    </w:p>
    <w:p>
      <w:pPr>
        <w:pStyle w:val="Normal"/>
        <w:numPr>
          <w:ilvl w:val="0"/>
          <w:numId w:val="2"/>
        </w:numPr>
        <w:tabs>
          <w:tab w:val="clear" w:pos="720"/>
          <w:tab w:val="left" w:pos="360" w:leader="none"/>
        </w:tabs>
        <w:ind w:hanging="360" w:start="360" w:end="0"/>
        <w:rPr/>
      </w:pPr>
      <w:r>
        <w:rPr/>
        <w:t>ENA currently has an approximate cash balance of $73,410 after buying gas for May  2nd.  The prepayment of $10,000 plus our estimated cash balance with Reliant should give ENA the ability to purchase 7 days supply from Reliant at current prices.</w:t>
      </w:r>
    </w:p>
    <w:p>
      <w:pPr>
        <w:pStyle w:val="Normal"/>
        <w:ind w:start="360" w:end="0"/>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rbarbe</cp:lastModifiedBy>
  <cp:lastPrinted>2002-04-18T10:04:00Z</cp:lastPrinted>
  <dcterms:modified xsi:type="dcterms:W3CDTF">2002-05-01T12:30:00Z</dcterms:modified>
  <cp:revision>25</cp:revision>
  <dc:subject/>
  <dc:title>Cash Use Approval Request</dc:title>
</cp:coreProperties>
</file>