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$25,000</w:t>
      </w:r>
    </w:p>
    <w:p>
      <w:pPr>
        <w:pStyle w:val="Normal"/>
        <w:rPr/>
      </w:pPr>
      <w:r>
        <w:rPr/>
        <w:t>Date of Request:</w:t>
        <w:tab/>
        <w:tab/>
        <w:tab/>
        <w:tab/>
        <w:t>03/13/02</w:t>
      </w:r>
    </w:p>
    <w:p>
      <w:pPr>
        <w:pStyle w:val="Normal"/>
        <w:rPr/>
      </w:pPr>
      <w:r>
        <w:rPr/>
        <w:t>Date of Payment:</w:t>
        <w:tab/>
        <w:tab/>
        <w:tab/>
        <w:tab/>
        <w:t>03/14/02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$.06.  As result, ENA will generate a small profit for every MMBtu of swing gas supplied to Tallahassee.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$18,020.  The prepayment of $25,000 plus our estimated cash balance with Reliant should give ENA the ability to purchase 7 days supply from Reliant at a current prices.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2002-03-13T13:23:00Z</cp:lastPrinted>
  <dcterms:modified xsi:type="dcterms:W3CDTF">2002-03-13T16:58:00Z</dcterms:modified>
  <cp:revision>7</cp:revision>
  <dc:subject/>
  <dc:title>Cash Use Approval Request</dc:title>
</cp:coreProperties>
</file>