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sz w:val="22"/>
        </w:rPr>
      </w:pPr>
      <w:r>
        <w:rPr>
          <w:b/>
          <w:sz w:val="22"/>
        </w:rPr>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datedNovember 8, 2001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sz w:val="22"/>
        </w:rPr>
        <w:t>"</w:t>
      </w:r>
      <w:r>
        <w:rPr>
          <w:sz w:val="22"/>
          <w:u w:val="single"/>
        </w:rPr>
        <w:t>Bankrupt</w:t>
      </w:r>
      <w:r>
        <w:rPr>
          <w:sz w:val="22"/>
        </w:rPr>
        <w:t>"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with respect to a Group, or its Guarantor, as the case may be, or other entity, on any date of determination, the respective ratings then assigned toa Group,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sz w:val="22"/>
        </w:rPr>
      </w:pPr>
      <w:r>
        <w:rPr>
          <w:rFonts w:cs="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sz w:val="22"/>
        </w:rPr>
        <w:t>"</w:t>
      </w:r>
      <w:r>
        <w:rPr>
          <w:sz w:val="22"/>
          <w:u w:val="single"/>
        </w:rPr>
        <w:t>Interest Rate</w:t>
      </w:r>
      <w:r>
        <w:rPr>
          <w:sz w:val="22"/>
        </w:rPr>
        <w:t xml:space="preserve">" means the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means :</w:t>
      </w:r>
    </w:p>
    <w:p>
      <w:pPr>
        <w:pStyle w:val="Normal"/>
        <w:ind w:firstLine="720" w:end="0"/>
        <w:jc w:val="both"/>
        <w:rPr>
          <w:sz w:val="22"/>
        </w:rPr>
      </w:pPr>
      <w:r>
        <w:rPr>
          <w:sz w:val="22"/>
        </w:rPr>
      </w:r>
    </w:p>
    <w:p>
      <w:pPr>
        <w:pStyle w:val="Normal"/>
        <w:ind w:firstLine="720" w:end="0"/>
        <w:jc w:val="both"/>
        <w:rPr>
          <w:sz w:val="22"/>
        </w:rPr>
      </w:pPr>
      <w:r>
        <w:rPr>
          <w:sz w:val="22"/>
        </w:rPr>
        <w:t>(a)</w:t>
        <w:tab/>
        <w:t>with respect to Counterparty Group, if Reliant Resources, Inc.’s Credit Rating falls below BBB- from S&amp;P or Baa3 from Moody’s or if Reliant Resources, Inc. is not rated by either S&amp;P or Moody’s; and</w:t>
      </w:r>
    </w:p>
    <w:p>
      <w:pPr>
        <w:pStyle w:val="Normal"/>
        <w:ind w:firstLine="720" w:end="0"/>
        <w:jc w:val="both"/>
        <w:rPr>
          <w:sz w:val="22"/>
        </w:rPr>
      </w:pPr>
      <w:r>
        <w:rPr>
          <w:sz w:val="22"/>
        </w:rPr>
      </w:r>
    </w:p>
    <w:p>
      <w:pPr>
        <w:pStyle w:val="Normal"/>
        <w:ind w:firstLine="720" w:end="0"/>
        <w:jc w:val="both"/>
        <w:rPr>
          <w:sz w:val="22"/>
        </w:rPr>
      </w:pPr>
      <w:r>
        <w:rPr>
          <w:sz w:val="22"/>
        </w:rPr>
        <w:t>(b)</w:t>
        <w:tab/>
        <w:t>with respect to Enron Group, if Enron Corp.’s Credit Rating falls below BBB- from S&amp;P or Baa3 from Moody’s or if Enron Corp. is not rated by either S&amp;P or Moody’s.</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$25,000.00 (Twenty-Five Thousand U.S. Dollars), and with respect to Counterparty Group, U.S. $25,000.00 (Twenty-Five Thousand U.S. Dollars).  </w:t>
      </w:r>
    </w:p>
    <w:p>
      <w:pPr>
        <w:pStyle w:val="Normal"/>
        <w:ind w:firstLine="720" w:end="0"/>
        <w:jc w:val="both"/>
        <w:rPr>
          <w:sz w:val="22"/>
          <w:u w:val="single"/>
        </w:rPr>
      </w:pPr>
      <w:r>
        <w:rPr>
          <w:sz w:val="22"/>
          <w:u w:val="single"/>
        </w:rPr>
      </w:r>
    </w:p>
    <w:p>
      <w:pPr>
        <w:pStyle w:val="Normal"/>
        <w:ind w:start="720" w:end="0"/>
        <w:jc w:val="both"/>
        <w:rPr/>
      </w:pPr>
      <w:r>
        <w:rPr>
          <w:sz w:val="22"/>
        </w:rPr>
        <w:t>"</w:t>
      </w:r>
      <w:r>
        <w:rPr>
          <w:sz w:val="22"/>
          <w:u w:val="single"/>
        </w:rPr>
        <w:t>Moody's</w:t>
      </w:r>
      <w:r>
        <w:rPr>
          <w:sz w:val="22"/>
        </w:rPr>
        <w:t xml:space="preserve"> means Moody’s Investors Service, Inc. or its successor.</w:t>
      </w:r>
    </w:p>
    <w:p>
      <w:pPr>
        <w:pStyle w:val="Normal"/>
        <w:ind w:start="720" w:end="0"/>
        <w:jc w:val="both"/>
        <w:rPr>
          <w:sz w:val="22"/>
        </w:rPr>
      </w:pPr>
      <w:r>
        <w:rPr>
          <w:sz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U.S. $25,000.00 (Twenty-Five Thousand U.S. Dollars), and with respect to Counterparty Group, US $25,000.00 (Twenty-Five Thousand U.S. Dollars).</w:t>
      </w:r>
    </w:p>
    <w:p>
      <w:pPr>
        <w:pStyle w:val="Normal"/>
        <w:spacing w:before="240" w:after="0"/>
        <w:ind w:firstLine="720" w:end="0"/>
        <w:jc w:val="both"/>
        <w:rPr/>
      </w:pPr>
      <w:r>
        <w:rPr>
          <w:sz w:val="22"/>
        </w:rPr>
        <w:t>"</w:t>
      </w:r>
      <w:r>
        <w:rPr>
          <w:sz w:val="22"/>
          <w:u w:val="single"/>
        </w:rPr>
        <w:t>S&amp;P</w:t>
      </w:r>
      <w:r>
        <w:rPr>
          <w:sz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color w:val="000000"/>
          <w:sz w:val="22"/>
        </w:rPr>
      </w:pPr>
      <w:r>
        <w:rPr>
          <w:b/>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sz w:val="22"/>
        </w:rPr>
        <w:t xml:space="preserve">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  Unless otherwise agreed in writing by the Parties, if Pledging Group's reduction demand is made on or before the Notification Time on a Business Day, then 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rPr>
      </w:pPr>
      <w:r>
        <w:rPr>
          <w:sz w:val="22"/>
        </w:rPr>
      </w:r>
    </w:p>
    <w:p>
      <w:pPr>
        <w:pStyle w:val="Normal"/>
        <w:ind w:firstLine="720" w:end="0"/>
        <w:jc w:val="both"/>
        <w:rPr>
          <w:sz w:val="22"/>
        </w:rPr>
      </w:pPr>
      <w:r>
        <w:rPr>
          <w:sz w:val="22"/>
        </w:rPr>
        <w:t>(i) Enron Group and its Custodian will be entitled to hold Cash pursuant hereto provided the following conditions applicable to it are satisfied.</w:t>
      </w:r>
    </w:p>
    <w:p>
      <w:pPr>
        <w:pStyle w:val="Normal"/>
        <w:ind w:start="720" w:end="0"/>
        <w:jc w:val="both"/>
        <w:rPr>
          <w:sz w:val="22"/>
        </w:rPr>
      </w:pPr>
      <w:r>
        <w:rPr>
          <w:sz w:val="22"/>
        </w:rPr>
      </w:r>
    </w:p>
    <w:p>
      <w:pPr>
        <w:pStyle w:val="Normal"/>
        <w:ind w:start="720" w:end="0"/>
        <w:jc w:val="both"/>
        <w:rPr>
          <w:sz w:val="22"/>
        </w:rPr>
      </w:pPr>
      <w:r>
        <w:rPr>
          <w:sz w:val="22"/>
        </w:rPr>
        <w:t>(A) Enron Group is not in Default and a Material Adverse Change has not occurred with respect to Enron Group.</w:t>
      </w:r>
    </w:p>
    <w:p>
      <w:pPr>
        <w:pStyle w:val="Normal"/>
        <w:ind w:start="720" w:end="0"/>
        <w:jc w:val="both"/>
        <w:rPr>
          <w:sz w:val="22"/>
        </w:rPr>
      </w:pPr>
      <w:r>
        <w:rPr>
          <w:sz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rPr>
      </w:pPr>
      <w:r>
        <w:rPr>
          <w:sz w:val="22"/>
        </w:rPr>
        <w:t>(ii) Counterparty Group and its Custodian will be entitled to hold Cash pursuant hereto provided the following conditions applicable to it are satisfied.</w:t>
      </w:r>
    </w:p>
    <w:p>
      <w:pPr>
        <w:pStyle w:val="Normal"/>
        <w:ind w:start="900" w:end="0"/>
        <w:jc w:val="both"/>
        <w:rPr>
          <w:sz w:val="22"/>
        </w:rPr>
      </w:pPr>
      <w:r>
        <w:rPr>
          <w:sz w:val="22"/>
        </w:rPr>
      </w:r>
    </w:p>
    <w:p>
      <w:pPr>
        <w:pStyle w:val="Normal"/>
        <w:ind w:start="720" w:end="0"/>
        <w:jc w:val="both"/>
        <w:rPr>
          <w:sz w:val="22"/>
        </w:rPr>
      </w:pPr>
      <w:r>
        <w:rPr>
          <w:sz w:val="22"/>
        </w:rPr>
        <w:t>(A) Counterparty Group is not in Default and a Material Adverse Change has not occurred with respect to Counterparty Group.</w:t>
      </w:r>
    </w:p>
    <w:p>
      <w:pPr>
        <w:pStyle w:val="Normal"/>
        <w:ind w:start="720" w:end="0"/>
        <w:jc w:val="both"/>
        <w:rPr>
          <w:sz w:val="22"/>
        </w:rPr>
      </w:pPr>
      <w:r>
        <w:rPr>
          <w:sz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sz w:val="22"/>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sz w:val="22"/>
        </w:rPr>
      </w:pPr>
      <w:r>
        <w:rPr>
          <w:sz w:val="22"/>
        </w:rPr>
        <w:t xml:space="preserve">(iv) Upon or at any time after the occurrence of a Default with respect to Pledging Group, or if an Early Termination Date has occurred or been designated under an Underlying Master Agreement as a result of a Default with respect to Pledging Group, then 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sz w:val="22"/>
        </w:rPr>
      </w:pPr>
      <w:r>
        <w:rPr>
          <w:sz w:val="22"/>
        </w:rPr>
        <w:t>(vi) In all cases, notwithstanding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rPr>
      </w:pPr>
      <w:r>
        <w:rPr>
          <w:rFonts w:cs="Times New Roman" w:ascii="Times New Roman" w:hAnsi="Times New Roman"/>
          <w:sz w:val="22"/>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sz w:val="22"/>
        </w:rPr>
      </w:pPr>
      <w:r>
        <w:rPr>
          <w:sz w:val="22"/>
        </w:rPr>
        <w:tab/>
        <w:t xml:space="preserve">(a) If Pledging Group shall dispute the amount of Performance Assurance requested by Secured Group and such dispute relates to the amount of the Net Exposure claimed by Secured Group, then Pledging Group shall (i) notify Secured Group of the existence and nature of the dispute not later than the Notification Time on the first Business Day following the date that the demand for Performance Assurance is made by Secured Group,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  </w:t>
      </w:r>
    </w:p>
    <w:p>
      <w:pPr>
        <w:pStyle w:val="Normal"/>
        <w:spacing w:before="240" w:after="0"/>
        <w:ind w:firstLine="720" w:end="0"/>
        <w:jc w:val="both"/>
        <w:rPr>
          <w:sz w:val="22"/>
        </w:rPr>
      </w:pPr>
      <w:r>
        <w:rPr>
          <w:sz w:val="22"/>
        </w:rPr>
        <w:t>(b) In all such cases, the Parties thereafter shall promptly consult with each other in order to reconcile the two conflicting amounts.  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sz w:val="22"/>
        </w:rPr>
        <w:t>[</w:t>
      </w:r>
      <w:r>
        <w:rPr>
          <w:sz w:val="22"/>
        </w:rPr>
        <w:t>Enron North America Corp.</w:t>
      </w:r>
      <w:r>
        <w:rPr>
          <w:b/>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sz w:val="22"/>
        </w:rPr>
      </w:pPr>
      <w:r>
        <w:rPr>
          <w:sz w:val="22"/>
        </w:rPr>
        <w:t>2.</w:t>
        <w:tab/>
        <w:t>"An Underlying Master Agreements Close-Out (as defined in the Master Netting, Setoff, and Security Agreement dated as of ________ among ______________, as the same may be amended (the "Master Agreement")) has occurred or been designated as a result of a Default with respect to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/mnt/main-storage/datasets/enron-docs/doc/Reliant_MNA_Collateral_Annex_FINAL.doc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2001-11-08T18:05:00Z</dcterms:created>
  <dc:creator>formosos</dc:creator>
  <dc:description/>
  <dc:language>en-CA</dc:language>
  <cp:lastModifiedBy>leslie hansen</cp:lastModifiedBy>
  <cp:lastPrinted>2001-11-08T14:54:00Z</cp:lastPrinted>
  <dcterms:modified xsi:type="dcterms:W3CDTF">2001-11-08T18:24:00Z</dcterms:modified>
  <cp:revision>4</cp:revision>
  <dc:subject/>
  <dc:title>COLLATERAL ANNEX</dc:title>
</cp:coreProperties>
</file>