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tabs>
          <w:tab w:val="clear" w:pos="720"/>
          <w:tab w:val="left" w:pos="3960" w:leader="none"/>
        </w:tabs>
        <w:ind w:hanging="0" w:start="0"/>
        <w:rPr/>
      </w:pPr>
      <w:r>
        <w:rPr/>
        <w:t>Reliant Energy Gas Transmission</w:t>
        <w:tab/>
        <w:t>)</w:t>
        <w:tab/>
        <w:tab/>
        <w:t>Docket No. RP00-482-000</w:t>
      </w:r>
    </w:p>
    <w:p>
      <w:pPr>
        <w:pStyle w:val="Normal"/>
        <w:jc w:val="both"/>
        <w:rPr>
          <w:sz w:val="24"/>
        </w:rPr>
      </w:pPr>
      <w:r>
        <w:rPr>
          <w:sz w:val="24"/>
        </w:rPr>
        <w:tab/>
        <w:t>Company</w:t>
      </w:r>
    </w:p>
    <w:p>
      <w:pPr>
        <w:pStyle w:val="Normal"/>
        <w:jc w:val="both"/>
        <w:rPr>
          <w:sz w:val="24"/>
        </w:rPr>
      </w:pPr>
      <w:r>
        <w:rPr>
          <w:sz w:val="24"/>
        </w:rPr>
      </w:r>
    </w:p>
    <w:p>
      <w:pPr>
        <w:pStyle w:val="Heading2"/>
        <w:ind w:hanging="0" w:start="0"/>
        <w:rPr/>
      </w:pPr>
      <w:r>
        <w:rPr/>
        <w:t xml:space="preserve">MOTION FOR LEAVE TO INTERVENE </w:t>
      </w:r>
    </w:p>
    <w:p>
      <w:pPr>
        <w:pStyle w:val="Heading2"/>
        <w:ind w:hanging="0" w:start="0"/>
        <w:rPr/>
      </w:pPr>
      <w:r>
        <w:rPr/>
        <w:t xml:space="preserve">AND </w:t>
      </w:r>
      <w:r>
        <w:rPr>
          <w:caps/>
        </w:rPr>
        <w:t xml:space="preserve">Comments of Enron North America </w:t>
      </w:r>
    </w:p>
    <w:p>
      <w:pPr>
        <w:pStyle w:val="Heading2"/>
        <w:ind w:hanging="0" w:start="0"/>
        <w:rPr>
          <w:caps/>
        </w:rPr>
      </w:pPr>
      <w:r>
        <w:rPr>
          <w:caps/>
        </w:rPr>
        <w:t>On Compliance Filing</w:t>
      </w:r>
    </w:p>
    <w:p>
      <w:pPr>
        <w:pStyle w:val="Normal"/>
        <w:jc w:val="center"/>
        <w:rPr>
          <w:caps/>
          <w:sz w:val="24"/>
        </w:rPr>
      </w:pPr>
      <w:r>
        <w:rPr>
          <w:caps/>
          <w:sz w:val="24"/>
        </w:rPr>
      </w:r>
    </w:p>
    <w:p>
      <w:pPr>
        <w:pStyle w:val="Normal"/>
        <w:jc w:val="center"/>
        <w:rPr>
          <w:sz w:val="24"/>
        </w:rPr>
      </w:pPr>
      <w:r>
        <w:rPr>
          <w:sz w:val="24"/>
        </w:rPr>
      </w:r>
    </w:p>
    <w:p>
      <w:pPr>
        <w:pStyle w:val="BodyText"/>
        <w:tabs>
          <w:tab w:val="clear" w:pos="720"/>
          <w:tab w:val="left" w:pos="1440" w:leader="none"/>
        </w:tabs>
        <w:rPr/>
      </w:pPr>
      <w:r>
        <w:rPr/>
        <w:tab/>
        <w:t>In Order No. 637 et seq.</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(“ENA”) hereby files its motion for leave to intervene and comments on the compliance filing of Reliant Energy Gas Transmission Company (“Reliant”) in the above captioned-docket.</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BodyText"/>
        <w:tabs>
          <w:tab w:val="clear" w:pos="720"/>
          <w:tab w:val="left" w:pos="1440" w:leader="none"/>
          <w:tab w:val="left" w:pos="3600" w:leader="none"/>
          <w:tab w:val="left" w:pos="4320" w:leader="none"/>
          <w:tab w:val="left" w:pos="5040" w:leader="none"/>
          <w:tab w:val="left" w:pos="5856" w:leader="none"/>
        </w:tabs>
        <w:rPr/>
      </w:pPr>
      <w:r>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rPr/>
      </w:pPr>
      <w:r>
        <w:rPr/>
        <w:tab/>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t>II.</w:t>
      </w:r>
    </w:p>
    <w:p>
      <w:pPr>
        <w:pStyle w:val="BodyText"/>
        <w:tabs>
          <w:tab w:val="clear" w:pos="720"/>
          <w:tab w:val="left" w:pos="1440" w:leader="none"/>
        </w:tabs>
        <w:jc w:val="center"/>
        <w:rPr>
          <w:b/>
        </w:rPr>
      </w:pPr>
      <w:r>
        <w:rPr>
          <w:b/>
        </w:rPr>
        <w:t>COMMENTS</w:t>
      </w:r>
    </w:p>
    <w:p>
      <w:pPr>
        <w:pStyle w:val="BodyText"/>
        <w:tabs>
          <w:tab w:val="clear" w:pos="720"/>
          <w:tab w:val="left" w:pos="1440" w:leader="none"/>
        </w:tabs>
        <w:rPr/>
      </w:pPr>
      <w:r>
        <w:rPr/>
        <w:tab/>
        <w:t>ENA has concerns with the revisions Reliant has made to its cash-out procedures that remove any tolerance for imbalances.  Reliant claims that its proposed cash-out revisions are necessary to eliminate the incentive that customers may have to rely on Reliant’s cash-out provisions when cash-out is lower than the price of gas.  Reliant would cash out a shipper’s monthly imbalances using a “high/low” method.  Under this method, underdeliveries will be cashed out using the highest daily price for gas during the month and overdeliveries will be cashed out using the lowest daily price, without the application of a premium or discount factor.  This is an extreme cash-out proposal which penalizes all shippers — those who arbitrage as well as those who attempt to balance their daily business as well as they possibly can.  The penalties are excessive because, not only do they take prices at the fringes (which may be considerably off the price when the imbalances actually occurred), but there also appears to be no tolerance in the cash-out mechanism.  Thus, a shipper that operates within a tolerance that reflects cautious management and would be acceptable on any other pipeline is penalized in cashing out, regardless of whether there was any harm or intent to game the Reliant system.  Reliant’s current cash-out procedures provide that imbalances within a 0 to 5% tolerance are cashed out at 100% of the Index Price, which is an average of daily published spot prices for the last two weeks of the month..  If Reliant wants to impose a high/low pricing of cash-outs, there should be a tolerance level below which cash-outs would be priced at an average price.</w:t>
      </w:r>
    </w:p>
    <w:p>
      <w:pPr>
        <w:pStyle w:val="BodyText"/>
        <w:keepNext w:val="true"/>
        <w:tabs>
          <w:tab w:val="clear" w:pos="720"/>
          <w:tab w:val="left" w:pos="1440" w:leader="none"/>
        </w:tabs>
        <w:jc w:val="center"/>
        <w:rPr>
          <w:b/>
          <w:caps/>
        </w:rPr>
      </w:pPr>
      <w:r>
        <w:rPr>
          <w:b/>
          <w:caps/>
        </w:rPr>
        <w:t>III.</w:t>
      </w:r>
    </w:p>
    <w:p>
      <w:pPr>
        <w:pStyle w:val="BodyText"/>
        <w:keepNext w:val="true"/>
        <w:tabs>
          <w:tab w:val="clear" w:pos="720"/>
          <w:tab w:val="left" w:pos="1269" w:leader="none"/>
          <w:tab w:val="left" w:pos="1440" w:leader="none"/>
        </w:tabs>
        <w:jc w:val="center"/>
        <w:rPr>
          <w:b/>
          <w:caps/>
        </w:rPr>
      </w:pPr>
      <w:r>
        <w:rPr>
          <w:b/>
          <w:caps/>
        </w:rPr>
        <w:t>Conclusion</w:t>
      </w:r>
    </w:p>
    <w:p>
      <w:pPr>
        <w:pStyle w:val="BodyText"/>
        <w:keepNext w:val="true"/>
        <w:tabs>
          <w:tab w:val="clear" w:pos="720"/>
          <w:tab w:val="left" w:pos="1440" w:leader="none"/>
        </w:tabs>
        <w:rPr/>
      </w:pPr>
      <w:r>
        <w:rPr>
          <w:caps/>
        </w:rPr>
        <w:tab/>
        <w:t xml:space="preserve">WHEREFORE, </w:t>
      </w:r>
      <w:r>
        <w:rPr/>
        <w:t>in light of the foregoing, ENA respectfully requests that the Commission grant it leave to intervene in this proceeding and require Reliant to modify its proposed tariff revisions consistent with the discussion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u w:val="single"/>
        </w:rPr>
      </w:pPr>
      <w:r>
        <w:rPr>
          <w:sz w:val="24"/>
        </w:rPr>
        <w:t>Dated:  September 14,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r>
        <w:br w:type="page"/>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14th day of September,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BodyText"/>
        <w:jc w:val="center"/>
        <w:rPr/>
      </w:pPr>
      <w:r>
        <w:rPr/>
        <w:tab/>
        <w:tab/>
        <w:tab/>
        <w:tab/>
        <w:t>Leslie J. Lawner</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 31,091 (2000) (Order No. 637), </w:t>
      </w:r>
      <w:r>
        <w:rPr>
          <w:i/>
        </w:rPr>
        <w:t>order on reh’g</w:t>
      </w:r>
      <w:r>
        <w:rPr/>
        <w:t xml:space="preserve">, 91 F.E.R.C. ¶ 61,169 (2000) (Order No. 637-A), </w:t>
      </w:r>
      <w:r>
        <w:rPr>
          <w:i/>
        </w:rPr>
        <w:t>order denying reh’g</w:t>
      </w:r>
      <w:r>
        <w:rPr/>
        <w:t>, 92 F.E.R.C. ¶ 61,062 (2000) (Order No. 637-B).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fullPage"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2000-09-12T18:09:00Z</dcterms:created>
  <dc:creator>leslie joyce lawner</dc:creator>
  <dc:description/>
  <dc:language>en-CA</dc:language>
  <cp:lastModifiedBy>bcantre</cp:lastModifiedBy>
  <cp:lastPrinted>2000-09-13T14:10:00Z</cp:lastPrinted>
  <dcterms:modified xsi:type="dcterms:W3CDTF">2000-09-13T16:40:00Z</dcterms:modified>
  <cp:revision>5</cp:revision>
  <dc:subject/>
  <dc:title>UNITED STATES OF AMERICA</dc:title>
</cp:coreProperties>
</file>