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Reliant Energy Services,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2000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theFinancially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Fianacially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Financially Firm basis each Gas Day a quantity of Gas equal to the DCQ; provided, if the MinDQ is applicable to a Transaction, Buyer shall Schedule, or cause to be Scheduled, at the Delivery Point(s) on a Financially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3.6.</w:t>
      </w:r>
      <w:r>
        <w:rPr>
          <w:rFonts w:cs="Arial Narrow" w:ascii="Arial Narrow" w:hAnsi="Arial Narrow"/>
          <w:sz w:val="18"/>
        </w:rPr>
        <w:t xml:space="preserve">  </w:t>
      </w:r>
      <w:r>
        <w:rPr>
          <w:rFonts w:cs="Arial Narrow" w:ascii="Arial Narrow" w:hAnsi="Arial Narrow"/>
          <w:b/>
          <w:sz w:val="18"/>
          <w:u w:val="single"/>
        </w:rPr>
        <w:t>SUSPENSION OF PERFORMANCE</w:t>
      </w:r>
      <w:r>
        <w:rPr>
          <w:rFonts w:cs="Arial Narrow" w:ascii="Arial Narrow" w:hAnsi="Arial Narrow"/>
          <w:b/>
          <w:sz w:val="18"/>
        </w:rPr>
        <w:t xml:space="preserve">.  </w:t>
      </w:r>
      <w:r>
        <w:rPr>
          <w:rFonts w:cs="Arial Narrow" w:ascii="Arial Narrow" w:hAnsi="Arial Narrow"/>
          <w:sz w:val="18"/>
        </w:rPr>
        <w:t>After the occurrence of a Triggering Event, or an event which, with the giving of notice or the passage of time or both, would constitute a TriggeringEvent with respect to a Party, the other Party shall have the right upon two Business Days written notice to either withhold or suspend delivery under the Agreement, in addition to any other remedies provided under this Agreement or at law.</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and shall be continuing,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establish a date on (which date shall be no earlier than the date such notice is effective and not later than 20 days after such notice is effective) 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(ii) withhold any payments due in respect of such Transactions (iii) accelerate all amounts owing, and (iv) suspend performance;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resolved by good faith efforts by both parties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indebtedness to third parties, resulting in an acceleration of obligations of Customer’s Guarantor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b/>
          <w:sz w:val="18"/>
        </w:rPr>
        <w:t>.</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Exhibit “C”.  In order to secure all payment obligations of Customer to Company hereunder, Customer shall cause its Guarantor to execute and deliver to Company the guaranty agreement substantially in the form attached as Exhibit “D”.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b/>
          <w:sz w:val="18"/>
        </w:rPr>
        <w:t>.</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b/>
          <w:sz w:val="18"/>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and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/mnt/main-storage/datasets/enron-docs/doc/Reliant_Enovate-b3af87e9c4e5e10261d9479c38fbe56a430de8f7d188a136ec9c0be4861e9d7b.doc</w:t>
      </w:r>
      <w:r>
        <w:rPr>
          <w:sz w:val="12"/>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Financially Firm</w:t>
      </w:r>
      <w:r>
        <w:rPr>
          <w:rFonts w:cs="Arial Narrow" w:ascii="Arial Narrow" w:hAnsi="Arial Narrow"/>
          <w:b/>
          <w:sz w:val="18"/>
        </w:rPr>
        <w:t>”</w:t>
      </w:r>
      <w:r>
        <w:rPr>
          <w:rFonts w:cs="Arial Narrow" w:ascii="Arial Narrow" w:hAnsi="Arial Narrow"/>
          <w:sz w:val="18"/>
        </w:rPr>
        <w:t xml:space="preserve"> shall mean that the parties have agreed that the performance obligation of Seller to deliver and sell and Buyer to receive and purchase is only excused if it is physically impossible for a party to deliver or receive Gas in accordance with its obligations under a transaction because Gas is not available (at any price) at, or cannot be made available (at any price) via transportation (at any price) to the Delivery Point to enable performance consistent with the terms of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Except with regard to a party’s obligation to make payment due under the terms of this Contract, neither party shall be liable to the other for failure to perform a Financially Firm obligation, to the extent such failure was caused by Force Majeure.  The term “Force Majeure” as employed herein means any cause not reasonably with the control of the party claiming suspension, and which by the exercise of due diligence such Party, or third party, is unable to overcome or obtain or cause to be obtained a commercially reasonable substitute performance therefor;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p>
    <w:p>
      <w:pPr>
        <w:pStyle w:val="Normal"/>
        <w:ind w:start="360" w:end="0"/>
        <w:jc w:val="both"/>
        <w:rPr>
          <w:rFonts w:ascii="Arial Narrow" w:hAnsi="Arial Narrow" w:cs="Arial Narrow"/>
          <w:sz w:val="18"/>
        </w:rPr>
      </w:pPr>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p>
    <w:p>
      <w:pPr>
        <w:pStyle w:val="Normal"/>
        <w:ind w:start="360" w:end="0"/>
        <w:jc w:val="both"/>
        <w:rPr>
          <w:rFonts w:ascii="Arial Narrow" w:hAnsi="Arial Narrow" w:cs="Arial Narrow"/>
          <w:sz w:val="18"/>
        </w:rPr>
      </w:pPr>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(iii) economic hardship; (iv) the loss of Buyer’s markets or Buyer’s inability economically to use or resell Gas purchased hereunder; or (v) the loss or failure or Seller’s Gas supply, including, without limitation, depletion of reserves or other failure of production, or Seller’s ability to sell Gas to a market at a more advantageous price.  The party claiming Force Majeure shall not be excused from its responsibility for Imbalance Charges.  </w:t>
      </w:r>
    </w:p>
    <w:p>
      <w:pPr>
        <w:pStyle w:val="Normal"/>
        <w:ind w:start="360" w:end="0"/>
        <w:jc w:val="both"/>
        <w:rPr>
          <w:rFonts w:ascii="Arial Narrow" w:hAnsi="Arial Narrow" w:cs="Arial Narrow"/>
          <w:sz w:val="18"/>
        </w:rPr>
      </w:pPr>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p>
    <w:p>
      <w:pPr>
        <w:pStyle w:val="Normal"/>
        <w:ind w:start="360" w:end="0"/>
        <w:jc w:val="both"/>
        <w:rPr>
          <w:rFonts w:ascii="Arial Narrow" w:hAnsi="Arial Narrow" w:cs="Arial Narrow"/>
          <w:sz w:val="18"/>
        </w:rPr>
      </w:pPr>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p>
    <w:p>
      <w:pPr>
        <w:pStyle w:val="Normal"/>
        <w:ind w:start="360" w:end="0"/>
        <w:jc w:val="both"/>
        <w:rPr>
          <w:b/>
        </w:rPr>
      </w:pPr>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r>
        <w:rPr>
          <w:rFonts w:cs="Arial Narrow" w:ascii="Arial Narrow" w:hAnsi="Arial Narrow"/>
          <w:b/>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or its successor,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Fianacially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reasonable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reasonable expense of the Indemnifying Party, in which case the Indemnifying Party shall pay all reasonable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1111 Louisiana, 6</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t>P.O. Box 4455</w:t>
      </w:r>
    </w:p>
    <w:p>
      <w:pPr>
        <w:pStyle w:val="Normal"/>
        <w:jc w:val="both"/>
        <w:rPr>
          <w:rFonts w:ascii="Arial Narrow" w:hAnsi="Arial Narrow" w:cs="Arial Narrow"/>
          <w:sz w:val="18"/>
        </w:rPr>
      </w:pPr>
      <w:r>
        <w:rPr>
          <w:rFonts w:cs="Arial Narrow" w:ascii="Arial Narrow" w:hAnsi="Arial Narrow"/>
          <w:sz w:val="18"/>
        </w:rPr>
        <w:t>Houston, TX 77210-4455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 (Wire Info)</w:t>
      </w:r>
    </w:p>
    <w:p>
      <w:pPr>
        <w:pStyle w:val="Normal"/>
        <w:jc w:val="both"/>
        <w:rPr>
          <w:rFonts w:ascii="Arial Narrow" w:hAnsi="Arial Narrow" w:cs="Arial Narrow"/>
          <w:bCs/>
          <w:sz w:val="18"/>
        </w:rPr>
      </w:pPr>
      <w:r>
        <w:rPr>
          <w:rFonts w:cs="Arial Narrow" w:ascii="Arial Narrow" w:hAnsi="Arial Narrow"/>
          <w:bCs/>
          <w:sz w:val="18"/>
        </w:rPr>
        <w:t>Chase Bank of Texas</w:t>
      </w:r>
    </w:p>
    <w:p>
      <w:pPr>
        <w:pStyle w:val="Normal"/>
        <w:jc w:val="both"/>
        <w:rPr>
          <w:rFonts w:ascii="Arial Narrow" w:hAnsi="Arial Narrow" w:cs="Arial Narrow"/>
          <w:bCs/>
          <w:sz w:val="18"/>
        </w:rPr>
      </w:pPr>
      <w:r>
        <w:rPr>
          <w:rFonts w:cs="Arial Narrow" w:ascii="Arial Narrow" w:hAnsi="Arial Narrow"/>
          <w:bCs/>
          <w:sz w:val="18"/>
        </w:rPr>
        <w:t>Houston, TX</w:t>
      </w:r>
    </w:p>
    <w:p>
      <w:pPr>
        <w:pStyle w:val="Normal"/>
        <w:jc w:val="both"/>
        <w:rPr>
          <w:rFonts w:ascii="Arial Narrow" w:hAnsi="Arial Narrow" w:cs="Arial Narrow"/>
          <w:bCs/>
          <w:sz w:val="18"/>
        </w:rPr>
      </w:pPr>
      <w:r>
        <w:rPr>
          <w:rFonts w:cs="Arial Narrow" w:ascii="Arial Narrow" w:hAnsi="Arial Narrow"/>
          <w:bCs/>
          <w:sz w:val="18"/>
        </w:rPr>
        <w:t>ABA #113 000 609</w:t>
      </w:r>
    </w:p>
    <w:p>
      <w:pPr>
        <w:pStyle w:val="Normal"/>
        <w:jc w:val="both"/>
        <w:rPr>
          <w:rFonts w:ascii="Arial Narrow" w:hAnsi="Arial Narrow" w:cs="Arial Narrow"/>
          <w:bCs/>
          <w:sz w:val="18"/>
        </w:rPr>
      </w:pPr>
      <w:r>
        <w:rPr>
          <w:rFonts w:cs="Arial Narrow" w:ascii="Arial Narrow" w:hAnsi="Arial Narrow"/>
          <w:bCs/>
          <w:sz w:val="18"/>
        </w:rPr>
        <w:t>Acct #0010 261 2158</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(713)207-1177</w:t>
      </w:r>
    </w:p>
    <w:p>
      <w:pPr>
        <w:pStyle w:val="Normal"/>
        <w:jc w:val="both"/>
        <w:rPr>
          <w:rFonts w:ascii="Arial Narrow" w:hAnsi="Arial Narrow" w:cs="Arial Narrow"/>
          <w:sz w:val="18"/>
        </w:rPr>
      </w:pPr>
      <w:r>
        <w:rPr>
          <w:rFonts w:cs="Arial Narrow" w:ascii="Arial Narrow" w:hAnsi="Arial Narrow"/>
          <w:b/>
          <w:sz w:val="18"/>
        </w:rPr>
        <w:t>Confirmations: (713)207-9562</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Financially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Financially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Financially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pPr>
      <w:r>
        <w:rPr>
          <w:rFonts w:cs="Arial Narrow" w:ascii="Arial Narrow" w:hAnsi="Arial Narrow"/>
          <w:b/>
          <w:sz w:val="18"/>
        </w:rPr>
        <w:t>SIGNATURE LINES FOR CUSTOMER AND COMPANY</w:t>
      </w:r>
      <w:r>
        <w:rPr>
          <w:rFonts w:cs="Arial Narrow" w:ascii="Arial Narrow" w:hAnsi="Arial Narrow"/>
          <w:sz w:val="18"/>
        </w:rPr>
        <w:t xml:space="preserve"> </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Reliant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Enovate L.L.C., an affiliate of Guarantor ("</w:t>
      </w:r>
      <w:r>
        <w:rPr>
          <w:rFonts w:cs="Arial Narrow" w:ascii="Arial Narrow" w:hAnsi="Arial Narrow"/>
          <w:sz w:val="18"/>
          <w:u w:val="single"/>
        </w:rPr>
        <w:t>Obligor</w:t>
      </w:r>
      <w:r>
        <w:rPr>
          <w:rFonts w:cs="Arial Narrow" w:ascii="Arial Narrow" w:hAnsi="Arial Narrow"/>
          <w:sz w:val="18"/>
        </w:rPr>
        <w:t>"), are contemplating entering into a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Attn:  Credit Dept.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1111 Louisiana St.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Reliant Energy Resources Corp. a Delaware corporation ("</w:t>
      </w:r>
      <w:r>
        <w:rPr>
          <w:rFonts w:cs="Arial Narrow" w:ascii="Arial Narrow" w:hAnsi="Arial Narrow"/>
          <w:sz w:val="18"/>
          <w:u w:val="single"/>
        </w:rPr>
        <w:t>Guarantor</w:t>
      </w:r>
      <w:r>
        <w:rPr>
          <w:rFonts w:cs="Arial Narrow" w:ascii="Arial Narrow" w:hAnsi="Arial Narrow"/>
          <w:sz w:val="18"/>
        </w:rPr>
        <w:t>"), and Enovate L.L.C..,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Reliant Energy Resources Corp.</w:t>
      </w:r>
    </w:p>
    <w:p>
      <w:pPr>
        <w:pStyle w:val="Normal"/>
        <w:jc w:val="both"/>
        <w:rPr/>
      </w:pPr>
      <w:r>
        <w:rPr>
          <w:rFonts w:cs="Arial Narrow" w:ascii="Arial Narrow" w:hAnsi="Arial Narrow"/>
          <w:sz w:val="18"/>
        </w:rPr>
        <w:t>Attn:  Credit Dept.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1111 Louisiana St.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w:t>
        <w:tab/>
        <w:tab/>
        <w:tab/>
        <w:t>ENOVATE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tabs>
          <w:tab w:val="clear" w:pos="720"/>
          <w:tab w:val="left" w:pos="3960" w:leader="none"/>
          <w:tab w:val="left" w:pos="5280" w:leader="none"/>
          <w:tab w:val="left" w:pos="9180" w:leader="none"/>
        </w:tabs>
        <w:jc w:val="center"/>
        <w:rPr>
          <w:rFonts w:ascii="Arial Narrow" w:hAnsi="Arial Narrow" w:cs="Arial Narrow"/>
          <w:sz w:val="18"/>
          <w:u w:val="single"/>
        </w:rPr>
      </w:pPr>
      <w:r>
        <w:rPr>
          <w:rFonts w:cs="Arial Narrow" w:ascii="Arial Narrow" w:hAnsi="Arial Narrow"/>
          <w:sz w:val="18"/>
          <w:u w:val="single"/>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/mnt/main-storage/datasets/enron-docs/doc/Reliant_Enovate-b3af87e9c4e5e10261d9479c38fbe56a430de8f7d188a136ec9c0be4861e9d7b.doc</w:t>
    </w:r>
    <w:r>
      <w:rPr>
        <w:sz w:val="16"/>
        <w:rFonts w:cs="Arial Narrow" w:ascii="Arial Narrow" w:hAnsi="Arial Narrow"/>
      </w:rPr>
      <w:fldChar w:fldCharType="end"/>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/mnt/main-storage/datasets/enron-docs/doc/Reliant_Enovate-b3af87e9c4e5e10261d9479c38fbe56a430de8f7d188a136ec9c0be4861e9d7b.doc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/mnt/main-storage/datasets/enron-docs/doc/Reliant_Enovate-b3af87e9c4e5e10261d9479c38fbe56a430de8f7d188a136ec9c0be4861e9d7b.doc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/mnt/main-storage/datasets/enron-docs/doc/Reliant_Enovate-b3af87e9c4e5e10261d9479c38fbe56a430de8f7d188a136ec9c0be4861e9d7b.doc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/mnt/main-storage/datasets/enron-docs/doc/Reliant_Enovate-b3af87e9c4e5e10261d9479c38fbe56a430de8f7d188a136ec9c0be4861e9d7b.doc</w:t>
    </w:r>
    <w:r>
      <w:rP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/mnt/main-storage/datasets/enron-docs/doc/Reliant_Enovate-b3af87e9c4e5e10261d9479c38fbe56a430de8f7d188a136ec9c0be4861e9d7b.doc</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/mnt/main-storage/datasets/enron-docs/doc/Reliant_Enovate-b3af87e9c4e5e10261d9479c38fbe56a430de8f7d188a136ec9c0be4861e9d7b.doc</w:t>
    </w:r>
    <w:r>
      <w:rPr>
        <w:sz w:val="16"/>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/mnt/main-storage/datasets/enron-docs/doc/Reliant_Enovate-b3af87e9c4e5e10261d9479c38fbe56a430de8f7d188a136ec9c0be4861e9d7b.doc</w:t>
    </w:r>
    <w:r>
      <w:rPr>
        <w:sz w:val="16"/>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rPr>
      <w:rFonts w:ascii="Arial Narrow" w:hAnsi="Arial Narrow" w:cs="Arial Narrow"/>
      <w:sz w:val="18"/>
    </w:rPr>
  </w:style>
  <w:style w:type="paragraph" w:styleId="BodyTextIndent">
    <w:name w:val="Body Text Indent"/>
    <w:basedOn w:val="Normal"/>
    <w:pPr>
      <w:ind w:hanging="0" w:start="360" w:end="0"/>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2000-11-13T17:31:00Z</dcterms:created>
  <dc:creator>jdobern</dc:creator>
  <dc:description/>
  <dc:language>en-CA</dc:language>
  <cp:lastModifiedBy>dhyvl</cp:lastModifiedBy>
  <cp:lastPrinted>2000-11-13T14:43:00Z</cp:lastPrinted>
  <dcterms:modified xsi:type="dcterms:W3CDTF">2000-11-29T13:51:00Z</dcterms:modified>
  <cp:revision>7</cp:revision>
  <dc:subject/>
  <dc:title>SAMPLE CONTRACT</dc:title>
</cp:coreProperties>
</file>