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color w:val="000000"/>
              </w:rPr>
            </w:pPr>
            <w:r>
              <w:rPr>
                <w:b/>
                <w:color w:val="000000"/>
              </w:rPr>
              <w:t>Enron North America Corp.</w:t>
            </w:r>
          </w:p>
          <w:p>
            <w:pPr>
              <w:pStyle w:val="Normal"/>
              <w:tabs>
                <w:tab w:val="clear" w:pos="720"/>
                <w:tab w:val="left" w:pos="2412" w:leader="none"/>
              </w:tabs>
              <w:ind w:start="1962" w:end="0"/>
              <w:jc w:val="end"/>
              <w:rPr>
                <w:color w:val="000000"/>
              </w:rPr>
            </w:pPr>
            <w:r>
              <w:rPr>
                <w:color w:val="000000"/>
              </w:rPr>
              <w:t>P.O. Box 4428</w:t>
            </w:r>
          </w:p>
          <w:p>
            <w:pPr>
              <w:pStyle w:val="Normal"/>
              <w:tabs>
                <w:tab w:val="clear" w:pos="720"/>
                <w:tab w:val="left" w:pos="2412" w:leader="none"/>
              </w:tabs>
              <w:ind w:start="1962" w:end="0"/>
              <w:jc w:val="end"/>
              <w:rPr>
                <w:color w:val="000000"/>
              </w:rPr>
            </w:pPr>
            <w:r>
              <w:rPr>
                <w:color w:val="000000"/>
              </w:rPr>
              <w:t>Houston, TX 77210-4428</w:t>
            </w:r>
          </w:p>
          <w:p>
            <w:pPr>
              <w:pStyle w:val="Normal"/>
              <w:tabs>
                <w:tab w:val="clear" w:pos="720"/>
                <w:tab w:val="left" w:pos="2412" w:leader="none"/>
              </w:tabs>
              <w:ind w:start="1962" w:end="0"/>
              <w:jc w:val="end"/>
              <w:rPr>
                <w:color w:val="000000"/>
              </w:rPr>
            </w:pPr>
            <w:r>
              <w:rPr>
                <w:color w:val="000000"/>
              </w:rPr>
              <w:t>Phone: (713) 853-3300</w:t>
            </w:r>
          </w:p>
          <w:p>
            <w:pPr>
              <w:pStyle w:val="Normal"/>
              <w:tabs>
                <w:tab w:val="clear" w:pos="720"/>
                <w:tab w:val="left" w:pos="2412" w:leader="none"/>
              </w:tabs>
              <w:ind w:start="1962" w:end="0"/>
              <w:jc w:val="end"/>
              <w:rPr>
                <w:color w:val="000000"/>
              </w:rPr>
            </w:pPr>
            <w:r>
              <w:rPr>
                <w:color w:val="000000"/>
              </w:rPr>
              <w:t>Fax: (713)646-2495</w:t>
            </w:r>
          </w:p>
          <w:p>
            <w:pPr>
              <w:pStyle w:val="Normal"/>
              <w:tabs>
                <w:tab w:val="clear" w:pos="720"/>
                <w:tab w:val="left" w:pos="2412" w:leader="none"/>
              </w:tabs>
              <w:ind w:start="1962" w:end="0"/>
              <w:jc w:val="end"/>
              <w:rPr>
                <w:color w:val="000000"/>
              </w:rPr>
            </w:pPr>
            <w:r>
              <w:rPr>
                <w:color w:val="000000"/>
              </w:rPr>
            </w:r>
          </w:p>
        </w:tc>
      </w:tr>
    </w:tbl>
    <w:p>
      <w:pPr>
        <w:pStyle w:val="Normal"/>
        <w:rPr/>
      </w:pPr>
      <w:r>
        <w:rPr/>
      </w:r>
    </w:p>
    <w:p>
      <w:pPr>
        <w:pStyle w:val="Normal"/>
        <w:rPr/>
      </w:pPr>
      <w:r>
        <w:rPr/>
        <w:t>February 15, 2000</w:t>
      </w:r>
    </w:p>
    <w:p>
      <w:pPr>
        <w:pStyle w:val="Normal"/>
        <w:rPr/>
      </w:pPr>
      <w:r>
        <w:rPr/>
      </w:r>
    </w:p>
    <w:p>
      <w:pPr>
        <w:pStyle w:val="Normal"/>
        <w:jc w:val="both"/>
        <w:rPr/>
      </w:pPr>
      <w:r>
        <w:rPr/>
        <w:t>Reliant Energy Services, Inc.</w:t>
      </w:r>
    </w:p>
    <w:p>
      <w:pPr>
        <w:pStyle w:val="Normal"/>
        <w:jc w:val="both"/>
        <w:rPr/>
      </w:pPr>
      <w:r>
        <w:rPr/>
        <w:t>Houston Industries Plaza</w:t>
      </w:r>
    </w:p>
    <w:p>
      <w:pPr>
        <w:pStyle w:val="Normal"/>
        <w:jc w:val="both"/>
        <w:rPr/>
      </w:pPr>
      <w:r>
        <w:rPr/>
        <w:t>1111 Louisiana</w:t>
      </w:r>
    </w:p>
    <w:p>
      <w:pPr>
        <w:pStyle w:val="Normal"/>
        <w:jc w:val="both"/>
        <w:rPr/>
      </w:pPr>
      <w:r>
        <w:rPr/>
        <w:t>Houston, TX 77002</w:t>
      </w:r>
    </w:p>
    <w:p>
      <w:pPr>
        <w:pStyle w:val="Normal"/>
        <w:rPr/>
      </w:pPr>
      <w:r>
        <w:rPr/>
      </w:r>
    </w:p>
    <w:p>
      <w:pPr>
        <w:pStyle w:val="Normal"/>
        <w:rPr/>
      </w:pPr>
      <w:r>
        <w:rPr/>
        <w:t>Attention:  Guy Diccani</w:t>
      </w:r>
    </w:p>
    <w:p>
      <w:pPr>
        <w:pStyle w:val="Normal"/>
        <w:rPr>
          <w:color w:val="000000"/>
        </w:rPr>
      </w:pPr>
      <w:r>
        <w:rPr>
          <w:color w:val="000000"/>
        </w:rPr>
      </w:r>
    </w:p>
    <w:p>
      <w:pPr>
        <w:pStyle w:val="Normal"/>
        <w:rPr>
          <w:color w:val="000000"/>
        </w:rPr>
      </w:pPr>
      <w:r>
        <w:rPr>
          <w:color w:val="000000"/>
        </w:rPr>
        <w:t xml:space="preserve">Fax No.: </w:t>
        <w:tab/>
      </w:r>
      <w:r>
        <w:rPr/>
        <w:t>(713) 207-1122</w:t>
      </w:r>
    </w:p>
    <w:p>
      <w:pPr>
        <w:pStyle w:val="Normal"/>
        <w:jc w:val="both"/>
        <w:rPr/>
      </w:pPr>
      <w:r>
        <w:rPr>
          <w:color w:val="000000"/>
        </w:rPr>
        <w:t xml:space="preserve">Telephone No.: </w:t>
        <w:tab/>
      </w:r>
      <w:r>
        <w:rPr/>
        <w:t>(713) 207-1300</w:t>
      </w:r>
    </w:p>
    <w:p>
      <w:pPr>
        <w:pStyle w:val="Normal"/>
        <w:rPr>
          <w:color w:val="000000"/>
        </w:rPr>
      </w:pPr>
      <w:r>
        <w:rPr>
          <w:color w:val="000000"/>
        </w:rPr>
      </w:r>
    </w:p>
    <w:p>
      <w:pPr>
        <w:pStyle w:val="Heading3"/>
        <w:ind w:hanging="0" w:start="0"/>
        <w:rPr/>
      </w:pPr>
      <w:r>
        <w:rPr>
          <w:color w:val="000000"/>
        </w:rPr>
        <w:t>Re:</w:t>
        <w:tab/>
        <w:t xml:space="preserve">WEATHER TRANSACTION -- ENA Contract No. </w:t>
      </w:r>
      <w:r>
        <w:rPr>
          <w:color w:val="FF0000"/>
        </w:rPr>
        <w:t>WR0855</w:t>
      </w:r>
    </w:p>
    <w:p>
      <w:pPr>
        <w:pStyle w:val="Normal"/>
        <w:rPr>
          <w:color w:val="FF0000"/>
        </w:rPr>
      </w:pPr>
      <w:r>
        <w:rPr>
          <w:color w:val="FF0000"/>
        </w:rPr>
      </w:r>
    </w:p>
    <w:p>
      <w:pPr>
        <w:pStyle w:val="Normal"/>
        <w:rPr>
          <w:color w:val="000000"/>
        </w:rPr>
      </w:pPr>
      <w:r>
        <w:rPr>
          <w:color w:val="000000"/>
        </w:rPr>
        <w:t>Dear Sirs:</w:t>
      </w:r>
    </w:p>
    <w:p>
      <w:pPr>
        <w:pStyle w:val="Normal"/>
        <w:rPr>
          <w:color w:val="000000"/>
        </w:rPr>
      </w:pPr>
      <w:r>
        <w:rPr>
          <w:color w:val="000000"/>
        </w:rPr>
      </w:r>
    </w:p>
    <w:p>
      <w:pPr>
        <w:pStyle w:val="Normal"/>
        <w:tabs>
          <w:tab w:val="clear" w:pos="720"/>
          <w:tab w:val="left" w:pos="3600" w:leader="none"/>
        </w:tabs>
        <w:jc w:val="both"/>
        <w:rPr/>
      </w:pPr>
      <w:r>
        <w:rPr/>
        <w:t>1.  Reference is made to the Master Agreement dated as of October 13, 1993 (the “Agreement”) between Reliant Energy Services, Inc. (“Counterparty”) and Enron North America Corp., (“ENA”) pursuant to which this Confirmation is delivered and to which the Transaction contemplated herein is subject.</w:t>
      </w:r>
    </w:p>
    <w:p>
      <w:pPr>
        <w:pStyle w:val="Normal"/>
        <w:tabs>
          <w:tab w:val="clear" w:pos="720"/>
          <w:tab w:val="left" w:pos="3600" w:leader="none"/>
        </w:tabs>
        <w:jc w:val="both"/>
        <w:rPr/>
      </w:pPr>
      <w:r>
        <w:rPr/>
      </w:r>
    </w:p>
    <w:p>
      <w:pPr>
        <w:pStyle w:val="Normal"/>
        <w:jc w:val="both"/>
        <w:rPr>
          <w:color w:val="000000"/>
        </w:rPr>
      </w:pPr>
      <w:r>
        <w:rPr>
          <w:rFonts w:cs="Tms Rmn" w:ascii="Tms Rmn" w:hAnsi="Tms Rmn"/>
          <w:color w:val="000000"/>
          <w:lang w:eastAsia="en-US"/>
        </w:rPr>
        <w:t xml:space="preserve">The definitions and provisions contained in the 1991 ISDA Definitions and the 1993 ISDA Commodity Derivatives Definitions, </w:t>
      </w:r>
      <w:r>
        <w:rPr>
          <w:rFonts w:cs="Tms Rmn" w:ascii="Tms Rmn" w:hAnsi="Tms Rmn"/>
          <w:color w:val="0000FF"/>
          <w:lang w:eastAsia="en-US"/>
        </w:rPr>
        <w:t>as such definitions may be amended, supplemented, replaced or modified from time to time</w:t>
      </w:r>
      <w:r>
        <w:rPr>
          <w:rFonts w:cs="Tms Rmn" w:ascii="Tms Rmn" w:hAnsi="Tms Rmn"/>
          <w:color w:val="000000"/>
          <w:lang w:eastAsia="en-US"/>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tabs>
          <w:tab w:val="clear" w:pos="720"/>
          <w:tab w:val="left" w:pos="900" w:leader="none"/>
        </w:tabs>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Cooling Degree Day (“CDD”) Cap Option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Amount:</w:t>
            </w:r>
          </w:p>
        </w:tc>
        <w:tc>
          <w:tcPr>
            <w:tcW w:w="6408" w:type="dxa"/>
            <w:tcBorders/>
          </w:tcPr>
          <w:p>
            <w:pPr>
              <w:pStyle w:val="Normal"/>
              <w:jc w:val="both"/>
              <w:rPr/>
            </w:pPr>
            <w:r>
              <w:rPr>
                <w:color w:val="FF0000"/>
              </w:rPr>
              <w:t xml:space="preserve">$10,000 </w:t>
            </w:r>
            <w:r>
              <w:rPr>
                <w:color w:val="000000"/>
              </w:rPr>
              <w:t>per CDD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tcBorders/>
          </w:tcPr>
          <w:p>
            <w:pPr>
              <w:pStyle w:val="Normal"/>
              <w:jc w:val="both"/>
              <w:rPr>
                <w:color w:val="FF0000"/>
              </w:rPr>
            </w:pPr>
            <w:r>
              <w:rPr>
                <w:color w:val="FF0000"/>
              </w:rPr>
              <w:t>February 11, 2000</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pPr>
            <w:r>
              <w:rPr/>
              <w:t>Effective Date:</w:t>
            </w:r>
          </w:p>
        </w:tc>
        <w:tc>
          <w:tcPr>
            <w:tcW w:w="6408" w:type="dxa"/>
            <w:tcBorders/>
          </w:tcPr>
          <w:p>
            <w:pPr>
              <w:pStyle w:val="Normal"/>
              <w:jc w:val="both"/>
              <w:rPr>
                <w:color w:val="FF0000"/>
              </w:rPr>
            </w:pPr>
            <w:r>
              <w:rPr>
                <w:color w:val="FF0000"/>
              </w:rPr>
              <w:t>May 1, 2000</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pPr>
            <w:r>
              <w:rPr/>
              <w:t>Termination Date:</w:t>
            </w:r>
          </w:p>
        </w:tc>
        <w:tc>
          <w:tcPr>
            <w:tcW w:w="6408" w:type="dxa"/>
            <w:tcBorders/>
          </w:tcPr>
          <w:p>
            <w:pPr>
              <w:pStyle w:val="Normal"/>
              <w:jc w:val="both"/>
              <w:rPr>
                <w:color w:val="FF0000"/>
              </w:rPr>
            </w:pPr>
            <w:r>
              <w:rPr>
                <w:color w:val="FF0000"/>
              </w:rPr>
              <w:t>September 30, 2000</w:t>
            </w:r>
          </w:p>
        </w:tc>
      </w:tr>
      <w:tr>
        <w:trPr/>
        <w:tc>
          <w:tcPr>
            <w:tcW w:w="3168" w:type="dxa"/>
            <w:tcBorders/>
          </w:tcPr>
          <w:p>
            <w:pPr>
              <w:pStyle w:val="Normal"/>
              <w:snapToGrid w:val="false"/>
              <w:jc w:val="both"/>
              <w:rPr>
                <w:color w:val="FF0000"/>
              </w:rPr>
            </w:pPr>
            <w:r>
              <w:rPr>
                <w:color w:val="FF0000"/>
              </w:rPr>
            </w:r>
          </w:p>
          <w:p>
            <w:pPr>
              <w:pStyle w:val="Normal"/>
              <w:jc w:val="both"/>
              <w:rPr/>
            </w:pPr>
            <w:r>
              <w:rPr/>
              <w:t>Premium Payment Details:</w:t>
            </w:r>
          </w:p>
          <w:p>
            <w:pPr>
              <w:pStyle w:val="Normal"/>
              <w:jc w:val="both"/>
              <w:rPr/>
            </w:pPr>
            <w:r>
              <w:rPr/>
            </w:r>
          </w:p>
        </w:tc>
        <w:tc>
          <w:tcPr>
            <w:tcW w:w="6408" w:type="dxa"/>
            <w:tcBorders/>
          </w:tcPr>
          <w:p>
            <w:pPr>
              <w:pStyle w:val="Normal"/>
              <w:snapToGrid w:val="false"/>
              <w:jc w:val="both"/>
              <w:rPr>
                <w:color w:val="FF0000"/>
              </w:rPr>
            </w:pPr>
            <w:r>
              <w:rPr>
                <w:color w:val="FF0000"/>
              </w:rPr>
            </w:r>
          </w:p>
          <w:p>
            <w:pPr>
              <w:pStyle w:val="Normal"/>
              <w:jc w:val="both"/>
              <w:rPr/>
            </w:pPr>
            <w:r>
              <w:rPr>
                <w:color w:val="FF0000"/>
              </w:rPr>
              <w:t xml:space="preserve">ENA </w:t>
            </w:r>
            <w:r>
              <w:rPr/>
              <w:t xml:space="preserve">shall pay </w:t>
            </w:r>
            <w:r>
              <w:rPr>
                <w:color w:val="FF0000"/>
              </w:rPr>
              <w:t xml:space="preserve">Counterparty $445,000 </w:t>
            </w:r>
            <w:r>
              <w:rPr/>
              <w:t>two Business Days after this Confirmation has been duly executed by both parties</w:t>
            </w:r>
            <w:r>
              <w:rPr>
                <w:color w:val="FF0000"/>
              </w:rPr>
              <w:t>.</w:t>
            </w:r>
          </w:p>
          <w:p>
            <w:pPr>
              <w:pStyle w:val="Normal"/>
              <w:jc w:val="both"/>
              <w:rPr>
                <w:color w:val="FF0000"/>
              </w:rPr>
            </w:pPr>
            <w:r>
              <w:rPr>
                <w:color w:val="FF0000"/>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color w:val="FF0000"/>
              </w:rPr>
            </w:pPr>
            <w:r>
              <w:rPr>
                <w:color w:val="FF0000"/>
              </w:rPr>
              <w:t>ENA</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color w:val="FF0000"/>
              </w:rPr>
            </w:pPr>
            <w:r>
              <w:rPr>
                <w:color w:val="FF0000"/>
              </w:rPr>
              <w:t>Counterparty</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pPr>
            <w:r>
              <w:rPr/>
            </w:r>
          </w:p>
        </w:tc>
      </w:tr>
      <w:tr>
        <w:trPr/>
        <w:tc>
          <w:tcPr>
            <w:tcW w:w="3168" w:type="dxa"/>
            <w:tcBorders/>
          </w:tcPr>
          <w:p>
            <w:pPr>
              <w:pStyle w:val="Normal"/>
              <w:jc w:val="both"/>
              <w:rPr/>
            </w:pPr>
            <w:r>
              <w:rPr/>
              <w:t>Strike Amount:</w:t>
            </w:r>
          </w:p>
        </w:tc>
        <w:tc>
          <w:tcPr>
            <w:tcW w:w="6408" w:type="dxa"/>
            <w:tcBorders/>
          </w:tcPr>
          <w:p>
            <w:pPr>
              <w:pStyle w:val="Normal"/>
              <w:jc w:val="both"/>
              <w:rPr/>
            </w:pPr>
            <w:r>
              <w:rPr>
                <w:color w:val="FF0000"/>
              </w:rPr>
              <w:t>2,400</w:t>
            </w:r>
            <w:r>
              <w:rPr>
                <w:color w:val="000000"/>
              </w:rPr>
              <w:t xml:space="preserve"> CDD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color w:val="000000"/>
              </w:rPr>
            </w:pPr>
            <w:r>
              <w:rPr>
                <w:color w:val="000000"/>
              </w:rPr>
              <w:t>The sum of CDD’s calculated in accordance with the procedure detailed below, for each day during the applicable Calculation Period.</w:t>
            </w:r>
          </w:p>
          <w:p>
            <w:pPr>
              <w:pStyle w:val="Normal"/>
              <w:jc w:val="both"/>
              <w:rPr/>
            </w:pPr>
            <w:r>
              <w:rPr/>
            </w:r>
          </w:p>
          <w:p>
            <w:pPr>
              <w:pStyle w:val="Normal"/>
              <w:jc w:val="both"/>
              <w:rPr/>
            </w:pPr>
            <w:r>
              <w:rPr/>
              <w:t>CDD for each day is equal to the greater of (i)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minus 65 or (ii) zero.  The daily high and low temperatures measured by the NWS and reported by the NCDC shall be rounded to whole numbers prior to the calculation of CDDs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pPr>
            <w:r>
              <w:rPr/>
            </w:r>
          </w:p>
          <w:p>
            <w:pPr>
              <w:pStyle w:val="Normal"/>
              <w:jc w:val="both"/>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p>
            <w:pPr>
              <w:pStyle w:val="Normal"/>
              <w:jc w:val="both"/>
              <w:rPr/>
            </w:pPr>
            <w:r>
              <w:rPr/>
              <w:t>(“RWS”):</w:t>
            </w:r>
          </w:p>
        </w:tc>
        <w:tc>
          <w:tcPr>
            <w:tcW w:w="6408" w:type="dxa"/>
            <w:tcBorders/>
          </w:tcPr>
          <w:p>
            <w:pPr>
              <w:pStyle w:val="Normal"/>
              <w:jc w:val="both"/>
              <w:rPr>
                <w:color w:val="FF0000"/>
              </w:rPr>
            </w:pPr>
            <w:r>
              <w:rPr>
                <w:color w:val="FF0000"/>
              </w:rPr>
              <w:t>New Orleans International Airport, New Orleans, LA, WBAN #12916, WMO #72231</w:t>
            </w:r>
          </w:p>
        </w:tc>
      </w:tr>
      <w:tr>
        <w:trPr/>
        <w:tc>
          <w:tcPr>
            <w:tcW w:w="3168" w:type="dxa"/>
            <w:tcBorders/>
          </w:tcPr>
          <w:p>
            <w:pPr>
              <w:pStyle w:val="Normal"/>
              <w:snapToGrid w:val="false"/>
              <w:jc w:val="both"/>
              <w:rPr>
                <w:color w:val="FF0000"/>
              </w:rPr>
            </w:pPr>
            <w:r>
              <w:rPr>
                <w:color w:val="FF0000"/>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rPr>
              <w:t xml:space="preserve">Mobile Regional Airport, Mobile, AL, WBAN #13894, WMO #72223 </w:t>
            </w:r>
            <w:r>
              <w:rPr>
                <w:color w:val="000000"/>
              </w:rPr>
              <w:t xml:space="preserve">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rounded);and </w:t>
            </w:r>
          </w:p>
          <w:p>
            <w:pPr>
              <w:pStyle w:val="Normal"/>
              <w:numPr>
                <w:ilvl w:val="0"/>
                <w:numId w:val="2"/>
              </w:numPr>
              <w:jc w:val="both"/>
              <w:rPr/>
            </w:pPr>
            <w:r>
              <w:rPr>
                <w:color w:val="00000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spacing w:lineRule="atLeast" w:line="240"/>
              <w:jc w:val="both"/>
              <w:rPr/>
            </w:pPr>
            <w:r>
              <w:rPr>
                <w:rFonts w:cs="Tms Rmn" w:ascii="Tms Rmn" w:hAnsi="Tms Rmn"/>
                <w:color w:val="000000"/>
                <w:lang w:eastAsia="en-US"/>
              </w:rPr>
              <w:t xml:space="preserve">The data used to determine the Floating Amount (and to the extent required, data for the FRWS) shall be obtained from the NCDC’s official website located at </w:t>
            </w:r>
            <w:r>
              <w:rPr>
                <w:rFonts w:cs="Tms Rmn" w:ascii="Tms Rmn" w:hAnsi="Tms Rmn"/>
                <w:color w:val="FF0000"/>
                <w:lang w:eastAsia="en-US"/>
              </w:rPr>
              <w:t xml:space="preserve">http://www.nndc.noaa.gov, </w:t>
            </w:r>
            <w:r>
              <w:rPr>
                <w:rFonts w:cs="Tms Rmn" w:ascii="Tms Rmn" w:hAnsi="Tms Rmn"/>
                <w:color w:val="00000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rFonts w:cs="Tms Rmn" w:ascii="Tms Rmn" w:hAnsi="Tms Rmn"/>
                <w:color w:val="FF0000"/>
                <w:lang w:eastAsia="en-US"/>
              </w:rPr>
              <w:t>http://www4.ncdc.noaa.gov.</w:t>
            </w:r>
            <w:r>
              <w:rPr>
                <w:rFonts w:cs="Tms Rmn" w:ascii="Tms Rmn" w:hAnsi="Tms Rmn"/>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rFonts w:ascii="Tms Rmn" w:hAnsi="Tms Rmn" w:cs="Tms Rmn"/>
                <w:color w:val="000000"/>
                <w:lang w:eastAsia="en-US"/>
              </w:rPr>
            </w:pPr>
            <w:r>
              <w:rPr>
                <w:rFonts w:cs="Tms Rmn" w:ascii="Tms Rmn" w:hAnsi="Tms Rmn"/>
                <w:color w:val="000000"/>
                <w:lang w:eastAsia="en-US"/>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equal to the excess (if a positive number) of (i) the Floating Amount over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w:t>
            </w:r>
            <w:r>
              <w:rPr>
                <w:color w:val="FF0000"/>
              </w:rPr>
              <w:t>3,000,0000.</w:t>
            </w:r>
          </w:p>
          <w:p>
            <w:pPr>
              <w:pStyle w:val="Normal"/>
              <w:keepNext w:val="true"/>
              <w:keepLines/>
              <w:ind w:start="-3078" w:end="0"/>
              <w:jc w:val="both"/>
              <w:rPr>
                <w:color w:val="FF0000"/>
              </w:rPr>
            </w:pPr>
            <w:r>
              <w:rPr>
                <w:color w:val="FF0000"/>
              </w:rPr>
            </w:r>
          </w:p>
        </w:tc>
      </w:tr>
    </w:tbl>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BodyText2"/>
        <w:rPr/>
      </w:pPr>
      <w:r>
        <w:rPr>
          <w:b/>
        </w:rPr>
        <w:t xml:space="preserve"> </w:t>
      </w:r>
      <w:r>
        <w:rPr>
          <w:b/>
        </w:rPr>
        <w:t>3.</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Bank of America,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color w:val="000000"/>
              </w:rPr>
            </w:pPr>
            <w:r>
              <w:rPr>
                <w:color w:val="000000"/>
              </w:rPr>
              <w:t>:     Enron North America 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[Please Advise]</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[Please Advise]</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 xml:space="preserve">: </w:t>
            </w:r>
            <w:r>
              <w:rPr>
                <w:color w:val="FF0000"/>
              </w:rPr>
              <w:t>[Please Advise]</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[Please Advise]</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[Please Advise]</w:t>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BodyText3"/>
        <w:rPr/>
      </w:pPr>
      <w:r>
        <w:rPr>
          <w:b/>
          <w:u w:val="single"/>
        </w:rPr>
        <w:t>4. Representation.</w:t>
      </w:r>
      <w:r>
        <w:rPr>
          <w:b/>
        </w:rPr>
        <w:t xml:space="preserve">  </w:t>
      </w:r>
      <w:r>
        <w:rPr/>
        <w:t>ENA and Counterparty each represent that as of the Trade Date it is: (i) exposed in the conduct of its business to the risk of variations in temperature of the kind reflected in this Transaction and (ii) entering into this Transaction solely to offset or manage that risk.</w:t>
      </w:r>
    </w:p>
    <w:p>
      <w:pPr>
        <w:pStyle w:val="Normal"/>
        <w:jc w:val="both"/>
        <w:rPr>
          <w:color w:val="000000"/>
        </w:rPr>
      </w:pPr>
      <w:r>
        <w:rPr>
          <w:color w:val="000000"/>
        </w:rPr>
      </w:r>
    </w:p>
    <w:p>
      <w:pPr>
        <w:pStyle w:val="Normal"/>
        <w:jc w:val="both"/>
        <w:rPr>
          <w:color w:val="000000"/>
        </w:rPr>
      </w:pPr>
      <w:r>
        <w:rPr>
          <w:color w:val="00000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646-2495, Attention: Weather Confirmation Dept.  </w:t>
      </w:r>
    </w:p>
    <w:p>
      <w:pPr>
        <w:pStyle w:val="Normal"/>
        <w:jc w:val="both"/>
        <w:rPr>
          <w:color w:val="000000"/>
        </w:rPr>
      </w:pPr>
      <w:r>
        <w:rPr>
          <w:color w:val="000000"/>
        </w:rPr>
      </w:r>
    </w:p>
    <w:p>
      <w:pPr>
        <w:pStyle w:val="Normal"/>
        <w:jc w:val="both"/>
        <w:rPr>
          <w:color w:val="000000"/>
        </w:rPr>
      </w:pPr>
      <w:r>
        <w:rPr>
          <w:color w:val="000000"/>
        </w:rPr>
        <w:t>Enron North America Corp. is pleased to have entered into this Transaction with you.</w:t>
      </w:r>
    </w:p>
    <w:p>
      <w:pPr>
        <w:pStyle w:val="Normal"/>
        <w:jc w:val="both"/>
        <w:rPr>
          <w:color w:val="000000"/>
        </w:rPr>
      </w:pPr>
      <w:r>
        <w:rPr>
          <w:color w:val="000000"/>
        </w:rPr>
      </w:r>
    </w:p>
    <w:p>
      <w:pPr>
        <w:pStyle w:val="Normal"/>
        <w:keepNext w:val="true"/>
        <w:rPr>
          <w:color w:val="000000"/>
        </w:rPr>
      </w:pPr>
      <w:r>
        <w:rPr>
          <w:color w:val="000000"/>
        </w:rPr>
        <w:t>Yours sincerely,</w:t>
      </w:r>
    </w:p>
    <w:p>
      <w:pPr>
        <w:pStyle w:val="Normal"/>
        <w:keepNext w:val="true"/>
        <w:rPr>
          <w:color w:val="000000"/>
        </w:rPr>
      </w:pPr>
      <w:r>
        <w:rPr>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BodyText2"/>
        <w:keepNext w:val="true"/>
        <w:rPr>
          <w:color w:val="000000"/>
        </w:rPr>
      </w:pPr>
      <w:r>
        <w:rPr>
          <w:color w:val="000000"/>
        </w:rPr>
      </w:r>
    </w:p>
    <w:p>
      <w:pPr>
        <w:pStyle w:val="BodyText2"/>
        <w:keepNext w:val="true"/>
        <w:rPr/>
      </w:pPr>
      <w:r>
        <w:rPr/>
        <w:t>Confirmed as of the Trade Date:</w:t>
      </w:r>
    </w:p>
    <w:p>
      <w:pPr>
        <w:pStyle w:val="Normal"/>
        <w:keepNext w:val="true"/>
        <w:rPr>
          <w:color w:val="000000"/>
        </w:rPr>
      </w:pPr>
      <w:r>
        <w:rPr>
          <w:color w:val="000000"/>
        </w:rPr>
      </w:r>
    </w:p>
    <w:p>
      <w:pPr>
        <w:pStyle w:val="Heading3"/>
        <w:ind w:hanging="0" w:start="0"/>
        <w:rPr>
          <w:color w:val="000000"/>
        </w:rPr>
      </w:pPr>
      <w:r>
        <w:rPr>
          <w:color w:val="FF0000"/>
        </w:rPr>
        <w:t>RELIANT ENERGY SERVICES, INC.</w:t>
      </w:r>
    </w:p>
    <w:p>
      <w:pPr>
        <w:pStyle w:val="Normal"/>
        <w:keepNext w:val="true"/>
        <w:rPr>
          <w:color w:val="000000"/>
        </w:rPr>
      </w:pPr>
      <w:r>
        <w:rPr>
          <w:color w:val="000000"/>
        </w:rPr>
      </w:r>
    </w:p>
    <w:p>
      <w:pPr>
        <w:pStyle w:val="Normal"/>
        <w:keepNext w:val="true"/>
        <w:rPr>
          <w:color w:val="000000"/>
        </w:rPr>
      </w:pPr>
      <w:r>
        <w:rPr>
          <w:color w:val="000000"/>
        </w:rPr>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keepNext w:val="true"/>
        <w:rPr>
          <w:color w:val="000000"/>
          <w:sz w:val="22"/>
        </w:rPr>
      </w:pPr>
      <w:r>
        <w:rPr>
          <w:color w:val="000000"/>
          <w:sz w:val="22"/>
        </w:rPr>
      </w:r>
    </w:p>
    <w:p>
      <w:pPr>
        <w:pStyle w:val="Normal"/>
        <w:keepNext w:val="true"/>
        <w:rPr>
          <w:color w:val="000000"/>
          <w:sz w:val="22"/>
        </w:rPr>
      </w:pPr>
      <w:r>
        <w:rPr>
          <w:color w:val="000000"/>
          <w:sz w:val="22"/>
        </w:rPr>
        <w:t>Title:</w:t>
        <w:tab/>
        <w:t>_____________________________</w:t>
      </w:r>
    </w:p>
    <w:sectPr>
      <w:headerReference w:type="default" r:id="rId3"/>
      <w:footerReference w:type="default" r:id="rId4"/>
      <w:type w:val="nextPage"/>
      <w:pgSz w:w="12240" w:h="15840"/>
      <w:pgMar w:left="1008" w:right="1008" w:gutter="0" w:header="720" w:top="1260" w:footer="432" w:bottom="8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color w:val="000000"/>
        <w:sz w:val="20"/>
      </w:rPr>
      <w:t xml:space="preserve">Contract No. </w:t>
    </w:r>
    <w:r>
      <w:rPr>
        <w:color w:val="FF0000"/>
        <w:sz w:val="20"/>
      </w:rPr>
      <w:t>WR0855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u w:val="single"/>
    </w:rPr>
  </w:style>
  <w:style w:type="character" w:styleId="WW8Num9z0">
    <w:name w:val="WW8Num9z0"/>
    <w:qFormat/>
    <w:rPr>
      <w:b/>
      <w:u w:val="single"/>
    </w:rPr>
  </w:style>
  <w:style w:type="character" w:styleId="WW8Num10z0">
    <w:name w:val="WW8Num10z0"/>
    <w:qFormat/>
    <w:rPr/>
  </w:style>
  <w:style w:type="character" w:styleId="WW8Num11z0">
    <w:name w:val="WW8Num11z0"/>
    <w:qFormat/>
    <w:rPr/>
  </w:style>
  <w:style w:type="character" w:styleId="WW8Num13z0">
    <w:name w:val="WW8Num13z0"/>
    <w:qFormat/>
    <w:rPr>
      <w:b/>
    </w:rPr>
  </w:style>
  <w:style w:type="character" w:styleId="WW8Num14z0">
    <w:name w:val="WW8Num14z0"/>
    <w:qFormat/>
    <w:rPr>
      <w:b/>
    </w:rPr>
  </w:style>
  <w:style w:type="character" w:styleId="WW8Num15z0">
    <w:name w:val="WW8Num15z0"/>
    <w:qFormat/>
    <w:rPr>
      <w:b/>
    </w:rPr>
  </w:style>
  <w:style w:type="character" w:styleId="WW8Num17z0">
    <w:name w:val="WW8Num17z0"/>
    <w:qFormat/>
    <w:rPr>
      <w:b/>
      <w:u w:val="single"/>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2000-02-16T19:14:00Z</dcterms:created>
  <dc:creator>ECT</dc:creator>
  <dc:description/>
  <dc:language>en-CA</dc:language>
  <cp:lastModifiedBy>jcyprow</cp:lastModifiedBy>
  <cp:lastPrinted>2000-02-16T16:03:00Z</cp:lastPrinted>
  <dcterms:modified xsi:type="dcterms:W3CDTF">2000-02-16T21:07:00Z</dcterms:modified>
  <cp:revision>6</cp:revision>
  <dc:subject/>
  <dc:title>“DEEMED ISDA” CONFIRMATION</dc:title>
</cp:coreProperties>
</file>