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Reliant Energy Services,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3.6.</w:t>
      </w:r>
      <w:r>
        <w:rPr>
          <w:rFonts w:cs="Arial Narrow" w:ascii="Arial Narrow" w:hAnsi="Arial Narrow"/>
          <w:sz w:val="18"/>
        </w:rPr>
        <w:t xml:space="preserve">  </w:t>
      </w:r>
      <w:r>
        <w:rPr>
          <w:rFonts w:cs="Arial Narrow" w:ascii="Arial Narrow" w:hAnsi="Arial Narrow"/>
          <w:b/>
          <w:sz w:val="18"/>
          <w:u w:val="single"/>
        </w:rPr>
        <w:t>SUSPENSION OF PERFORMANCE</w:t>
      </w:r>
      <w:r>
        <w:rPr>
          <w:rFonts w:cs="Arial Narrow" w:ascii="Arial Narrow" w:hAnsi="Arial Narrow"/>
          <w:b/>
          <w:sz w:val="18"/>
        </w:rPr>
        <w:t xml:space="preserve">.  </w:t>
      </w:r>
      <w:r>
        <w:rPr>
          <w:rFonts w:cs="Arial Narrow" w:ascii="Arial Narrow" w:hAnsi="Arial Narrow"/>
          <w:sz w:val="18"/>
        </w:rPr>
        <w:t>After the occurrence of a Triggering Event, or an event which, with the giving of notice or the passage of time or both, would constitute a TriggeringEvent with respect to a Party, the other Party shall have the right upon two Business Days written notice to either withhold or suspend delivery under the Agreement, in addition to any other remedies provided under this Agreement or at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and shall be continuing,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establish a date on (which date shall be no earlier than the date such notice is effective and not later than 20 days after such notice is effective)which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(ii) withhold any payments due in respect of such Transactions, (iii) accelerate all amounts owing, and (iv) suspend performance;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w:t>
        <w:softHyphen/>
        <w:t xml:space="preserve">ness to third parties, resulting in an acceleration of obligations of Customer's Guarantor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and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With respect to any suit, action or proceedings relating to this Agreement and each Transaction, each party irrevocably submits to the exclusive jurisdiction of the state and federal district courts located in Harris County, Texas, and the parties further irrevocably waive trial by jury in such courts.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sz w:val="16"/>
        </w:rPr>
        <w:fldChar w:fldCharType="begin"/>
      </w:r>
      <w:r>
        <w:rPr>
          <w:sz w:val="16"/>
        </w:rPr>
        <w:instrText xml:space="preserve"> FILENAME \p </w:instrText>
      </w:r>
      <w:r>
        <w:rPr>
          <w:sz w:val="16"/>
        </w:rPr>
        <w:fldChar w:fldCharType="separate"/>
      </w:r>
      <w:r>
        <w:rPr>
          <w:sz w:val="16"/>
        </w:rPr>
        <w:t>/mnt/main-storage/datasets/enron-docs/doc/Reliant_ENA-c548008c2f8050650ddcfb77c55e66654a11b0b6f5b965236a8f5ae575b564fc.doc</w:t>
      </w:r>
      <w:r>
        <w:rPr>
          <w:sz w:val="16"/>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Except with regard to a party’s obligation to make payment due under the terms of this Contract, neither party shall be liable to the other for failure to perform a Financially Firm obligation, to the extent such failure was caused by Force Majeure.  The term “Force Majeure” as employed herein means any cause not reasonably with the control of the party claiming suspension, and which by the exercise of due diligence such Party, or third party, is unable to overcome or obtain or cause to be obtained a commercially reasonable substitute performance therefor;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p>
    <w:p>
      <w:pPr>
        <w:pStyle w:val="Normal"/>
        <w:ind w:start="360" w:end="0"/>
        <w:jc w:val="both"/>
        <w:rPr>
          <w:rFonts w:ascii="Arial Narrow" w:hAnsi="Arial Narrow" w:cs="Arial Narrow"/>
          <w:sz w:val="18"/>
        </w:rPr>
      </w:pPr>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p>
    <w:p>
      <w:pPr>
        <w:pStyle w:val="Normal"/>
        <w:ind w:start="360" w:end="0"/>
        <w:jc w:val="both"/>
        <w:rPr>
          <w:rFonts w:ascii="Arial Narrow" w:hAnsi="Arial Narrow" w:cs="Arial Narrow"/>
          <w:sz w:val="18"/>
        </w:rPr>
      </w:pPr>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(iii) economic hardship; (iv) the loss of Buyer’s markets or Buyer’s inability economically to use or resell Gas purchased hereunder; or (v) the loss or failure or Seller’s Gas supply, including, without limitation, depletion of reserves or other failure of production, or Seller’s ability to sell Gas to a market at a more advantageous price.  The party claiming Force Majeure shall not be excused from its responsibility for Imbalance Charges.  </w:t>
      </w:r>
    </w:p>
    <w:p>
      <w:pPr>
        <w:pStyle w:val="Normal"/>
        <w:ind w:start="360" w:end="0"/>
        <w:jc w:val="both"/>
        <w:rPr>
          <w:rFonts w:ascii="Arial Narrow" w:hAnsi="Arial Narrow" w:cs="Arial Narrow"/>
          <w:sz w:val="18"/>
        </w:rPr>
      </w:pPr>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p>
    <w:p>
      <w:pPr>
        <w:pStyle w:val="Normal"/>
        <w:ind w:start="360" w:end="0"/>
        <w:jc w:val="both"/>
        <w:rPr>
          <w:rFonts w:ascii="Arial Narrow" w:hAnsi="Arial Narrow" w:cs="Arial Narrow"/>
          <w:sz w:val="18"/>
        </w:rPr>
      </w:pPr>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p>
    <w:p>
      <w:pPr>
        <w:pStyle w:val="Normal"/>
        <w:ind w:start="360" w:end="0"/>
        <w:jc w:val="both"/>
        <w:rPr>
          <w:rFonts w:ascii="Arial Narrow" w:hAnsi="Arial Narrow" w:cs="Arial Narrow"/>
          <w:sz w:val="18"/>
        </w:rPr>
      </w:pPr>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reasonable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reasonable expense of the Indemnifying Party, in which case the Indemnifying Party shall pay all reasonable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1111 Louisiana,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t>P. O. Box 4455</w:t>
      </w:r>
    </w:p>
    <w:p>
      <w:pPr>
        <w:pStyle w:val="Normal"/>
        <w:jc w:val="both"/>
        <w:rPr>
          <w:rFonts w:ascii="Arial Narrow" w:hAnsi="Arial Narrow" w:cs="Arial Narrow"/>
          <w:sz w:val="18"/>
        </w:rPr>
      </w:pPr>
      <w:r>
        <w:rPr>
          <w:rFonts w:cs="Arial Narrow" w:ascii="Arial Narrow" w:hAnsi="Arial Narrow"/>
          <w:sz w:val="18"/>
        </w:rPr>
        <w:t>Houston, Texas 77210-4455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 – wire info:</w:t>
      </w:r>
    </w:p>
    <w:p>
      <w:pPr>
        <w:pStyle w:val="Normal"/>
        <w:jc w:val="both"/>
        <w:rPr>
          <w:rFonts w:ascii="Arial Narrow" w:hAnsi="Arial Narrow" w:cs="Arial Narrow"/>
          <w:bCs/>
          <w:sz w:val="18"/>
        </w:rPr>
      </w:pPr>
      <w:r>
        <w:rPr>
          <w:rFonts w:cs="Arial Narrow" w:ascii="Arial Narrow" w:hAnsi="Arial Narrow"/>
          <w:bCs/>
          <w:sz w:val="18"/>
        </w:rPr>
        <w:t>Chase Bank of Texas</w:t>
      </w:r>
    </w:p>
    <w:p>
      <w:pPr>
        <w:pStyle w:val="Normal"/>
        <w:jc w:val="both"/>
        <w:rPr>
          <w:rFonts w:ascii="Arial Narrow" w:hAnsi="Arial Narrow" w:cs="Arial Narrow"/>
          <w:bCs/>
          <w:sz w:val="18"/>
        </w:rPr>
      </w:pPr>
      <w:r>
        <w:rPr>
          <w:rFonts w:cs="Arial Narrow" w:ascii="Arial Narrow" w:hAnsi="Arial Narrow"/>
          <w:bCs/>
          <w:sz w:val="18"/>
        </w:rPr>
        <w:t>Houston, TX</w:t>
      </w:r>
    </w:p>
    <w:p>
      <w:pPr>
        <w:pStyle w:val="Normal"/>
        <w:jc w:val="both"/>
        <w:rPr>
          <w:rFonts w:ascii="Arial Narrow" w:hAnsi="Arial Narrow" w:cs="Arial Narrow"/>
          <w:bCs/>
          <w:sz w:val="18"/>
        </w:rPr>
      </w:pPr>
      <w:r>
        <w:rPr>
          <w:rFonts w:cs="Arial Narrow" w:ascii="Arial Narrow" w:hAnsi="Arial Narrow"/>
          <w:bCs/>
          <w:sz w:val="18"/>
        </w:rPr>
        <w:t>ABA # 113 000 609</w:t>
      </w:r>
    </w:p>
    <w:p>
      <w:pPr>
        <w:pStyle w:val="Normal"/>
        <w:jc w:val="both"/>
        <w:rPr>
          <w:rFonts w:ascii="Arial Narrow" w:hAnsi="Arial Narrow" w:cs="Arial Narrow"/>
          <w:bCs/>
          <w:sz w:val="18"/>
        </w:rPr>
      </w:pPr>
      <w:r>
        <w:rPr>
          <w:rFonts w:cs="Arial Narrow" w:ascii="Arial Narrow" w:hAnsi="Arial Narrow"/>
          <w:bCs/>
          <w:sz w:val="18"/>
        </w:rPr>
        <w:t>ACCT # 0010-261-2158</w:t>
      </w:r>
    </w:p>
    <w:p>
      <w:pPr>
        <w:pStyle w:val="Normal"/>
        <w:jc w:val="both"/>
        <w:rPr>
          <w:rFonts w:ascii="Arial Narrow" w:hAnsi="Arial Narrow" w:cs="Arial Narrow"/>
          <w:bCs/>
          <w:sz w:val="18"/>
        </w:rPr>
      </w:pPr>
      <w:r>
        <w:rPr>
          <w:rFonts w:cs="Arial Narrow" w:ascii="Arial Narrow" w:hAnsi="Arial Narrow"/>
          <w:bCs/>
          <w:sz w:val="18"/>
        </w:rPr>
        <w:t>For:  Reliant Energy Services, Inc.</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bCs/>
          <w:sz w:val="18"/>
        </w:rPr>
        <w:t>GAS: (713)207-1177</w:t>
      </w:r>
    </w:p>
    <w:p>
      <w:pPr>
        <w:pStyle w:val="Normal"/>
        <w:jc w:val="both"/>
        <w:rPr/>
      </w:pPr>
      <w:r>
        <w:rPr>
          <w:rFonts w:cs="Arial Narrow" w:ascii="Arial Narrow" w:hAnsi="Arial Narrow"/>
          <w:b/>
          <w:sz w:val="18"/>
        </w:rPr>
        <w:t xml:space="preserve">Confirmations:  </w:t>
      </w:r>
      <w:r>
        <w:rPr>
          <w:rFonts w:cs="Arial Narrow" w:ascii="Arial Narrow" w:hAnsi="Arial Narrow"/>
          <w:bCs/>
          <w:sz w:val="18"/>
        </w:rPr>
        <w:t>Conf: (713)207-9562</w:t>
      </w:r>
    </w:p>
    <w:p>
      <w:pPr>
        <w:pStyle w:val="Normal"/>
        <w:rPr>
          <w:rFonts w:ascii="Arial Narrow" w:hAnsi="Arial Narrow" w:cs="Arial Narrow"/>
          <w:bCs/>
          <w:sz w:val="18"/>
        </w:rPr>
      </w:pPr>
      <w:r>
        <w:rPr>
          <w:rFonts w:cs="Arial Narrow" w:ascii="Arial Narrow" w:hAnsi="Arial Narrow"/>
          <w:bCs/>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Reliant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Reliant Energy Resources Corp.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w:t>
        <w:tab/>
        <w:tab/>
        <w:tab/>
        <w:t>ENRON NORTH AMERICA CORP.</w:t>
      </w:r>
    </w:p>
    <w:p>
      <w:pPr>
        <w:pStyle w:val="Normal"/>
        <w:jc w:val="both"/>
        <w:rPr>
          <w:rFonts w:ascii="Arial Narrow" w:hAnsi="Arial Narrow" w:cs="Arial Narrow"/>
          <w:sz w:val="18"/>
        </w:rPr>
      </w:pPr>
      <w:r>
        <w:rPr>
          <w:rFonts w:cs="Arial Narrow" w:ascii="Arial Narrow" w:hAnsi="Arial Narrow"/>
          <w:sz w:val="18"/>
        </w:rPr>
        <w:t xml:space="preserve">CORP.     </w:t>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pPr>
    <w:r>
      <w:rPr>
        <w:sz w:val="18"/>
      </w:rPr>
      <w:t xml:space="preserve"> </w:t>
    </w: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/mnt/main-storage/datasets/enron-docs/doc/Reliant_ENA-c548008c2f8050650ddcfb77c55e66654a11b0b6f5b965236a8f5ae575b564fc.doc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2000-11-13T18:00:00Z</dcterms:created>
  <dc:creator>dperlin</dc:creator>
  <dc:description/>
  <dc:language>en-CA</dc:language>
  <cp:lastModifiedBy>dhyvl</cp:lastModifiedBy>
  <cp:lastPrinted>2000-11-13T14:51:00Z</cp:lastPrinted>
  <dcterms:modified xsi:type="dcterms:W3CDTF">2000-11-13T18:21:00Z</dcterms:modified>
  <cp:revision>7</cp:revision>
  <dc:subject/>
  <dc:title>ENFOLIO® MASTER FIRM PURCHASE/SALE AGREEMENT</dc:title>
</cp:coreProperties>
</file>