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and Reliant Energy Services, Inc. (“Counterparty”) effective as of ____________________, 2001.  </w:t>
      </w:r>
    </w:p>
    <w:p>
      <w:pPr>
        <w:pStyle w:val="Normal"/>
        <w:rPr/>
      </w:pPr>
      <w:r>
        <w:rPr/>
      </w:r>
    </w:p>
    <w:p>
      <w:pPr>
        <w:pStyle w:val="Normal"/>
        <w:rPr/>
      </w:pPr>
      <w:r>
        <w:rPr/>
        <w:t>WHEREAS, ENA and Counterparty have entered into that certain ISDA Master Agreement (the “ISDA Master”) dated effective as of ________________________, and that certain Enfolio Master “Spot” Purchase/Sale Agreement (the “Gas Master”) dated effective as of January 1, 1996, and EPMI and Counterparty have entered into that certain Master Power Purchase and Sale Agreement (the “Power Master”) dated as of September 22, 2000.  The ISDA Master, the Gas Master and the Power Master are hereinafter referred to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 xml:space="preserve"> </w:t>
      </w: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returnede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The Governing Agreements are further amended as provided in the Annexes attached hereto.</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admissable as between the parties to the same extent and under the same conditions as other business records originated and maintained in documentary form.  No party shall object to the admissability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RELIANT ENERGY SERVICES,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/mnt/main-storage/datasets/enron-docs/doc/ReliantEOLConsent.doc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2001-07-26T18:01:00Z</dcterms:created>
  <dc:creator>mtaylo1</dc:creator>
  <dc:description/>
  <dc:language>en-CA</dc:language>
  <cp:lastModifiedBy>Theresa Zucha</cp:lastModifiedBy>
  <cp:lastPrinted>2001-07-26T15:31:00Z</cp:lastPrinted>
  <dcterms:modified xsi:type="dcterms:W3CDTF">2001-07-26T18:01:00Z</dcterms:modified>
  <cp:revision>2</cp:revision>
  <dc:subject/>
  <dc:title>CONSENT AND AMENDMENT AGREEMENT</dc:title>
</cp:coreProperties>
</file>